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default" w:ascii="方正小标宋简体" w:hAnsi="方正小标宋简体" w:eastAsia="方正小标宋简体" w:cs="方正小标宋简体"/>
          <w:color w:val="000000"/>
          <w:kern w:val="0"/>
          <w:sz w:val="44"/>
          <w:szCs w:val="44"/>
          <w:lang w:val="en-US" w:eastAsia="zh-CN" w:bidi="ar"/>
        </w:rPr>
      </w:pPr>
    </w:p>
    <w:p>
      <w:pPr>
        <w:widowControl/>
        <w:spacing w:line="360" w:lineRule="auto"/>
        <w:jc w:val="both"/>
        <w:outlineLvl w:val="0"/>
        <w:rPr>
          <w:rFonts w:hint="eastAsia" w:ascii="方正小标宋简体" w:hAnsi="方正小标宋简体" w:eastAsia="方正小标宋简体" w:cs="方正小标宋简体"/>
          <w:color w:val="000000"/>
          <w:kern w:val="0"/>
          <w:sz w:val="72"/>
          <w:szCs w:val="72"/>
          <w:lang w:val="en-US" w:eastAsia="zh-CN" w:bidi="ar"/>
        </w:rPr>
      </w:pPr>
      <w:bookmarkStart w:id="0" w:name="_Toc30317"/>
      <w:bookmarkStart w:id="1" w:name="_Toc4846"/>
      <w:bookmarkStart w:id="2" w:name="_Toc15293"/>
      <w:bookmarkStart w:id="3" w:name="_Toc9894"/>
    </w:p>
    <w:p>
      <w:pPr>
        <w:widowControl/>
        <w:spacing w:line="360" w:lineRule="auto"/>
        <w:jc w:val="center"/>
        <w:outlineLvl w:val="0"/>
        <w:rPr>
          <w:rFonts w:hint="eastAsia" w:ascii="方正小标宋简体" w:hAnsi="方正小标宋简体" w:eastAsia="方正小标宋简体" w:cs="方正小标宋简体"/>
          <w:color w:val="000000"/>
          <w:kern w:val="0"/>
          <w:sz w:val="52"/>
          <w:szCs w:val="52"/>
          <w:lang w:val="en-US" w:eastAsia="zh-CN" w:bidi="ar"/>
        </w:rPr>
      </w:pPr>
      <w:r>
        <w:rPr>
          <w:rFonts w:hint="eastAsia" w:ascii="方正小标宋简体" w:hAnsi="方正小标宋简体" w:eastAsia="方正小标宋简体" w:cs="方正小标宋简体"/>
          <w:color w:val="000000"/>
          <w:kern w:val="0"/>
          <w:sz w:val="52"/>
          <w:szCs w:val="52"/>
          <w:lang w:val="en-US" w:eastAsia="zh-CN" w:bidi="ar"/>
        </w:rPr>
        <w:t xml:space="preserve">昆明市官渡区慈善协会 </w:t>
      </w:r>
    </w:p>
    <w:p>
      <w:pPr>
        <w:widowControl/>
        <w:spacing w:line="360" w:lineRule="auto"/>
        <w:jc w:val="center"/>
        <w:outlineLvl w:val="0"/>
        <w:rPr>
          <w:rFonts w:hint="eastAsia" w:ascii="方正小标宋简体" w:hAnsi="方正小标宋简体" w:eastAsia="方正小标宋简体" w:cs="方正小标宋简体"/>
          <w:color w:val="000000"/>
          <w:kern w:val="0"/>
          <w:sz w:val="52"/>
          <w:szCs w:val="52"/>
          <w:lang w:val="en-US" w:eastAsia="zh-CN" w:bidi="ar"/>
        </w:rPr>
      </w:pPr>
      <w:r>
        <w:rPr>
          <w:rFonts w:hint="eastAsia" w:ascii="方正小标宋简体" w:hAnsi="方正小标宋简体" w:eastAsia="方正小标宋简体" w:cs="方正小标宋简体"/>
          <w:color w:val="000000"/>
          <w:kern w:val="0"/>
          <w:sz w:val="52"/>
          <w:szCs w:val="52"/>
          <w:lang w:val="en-US" w:eastAsia="zh-CN" w:bidi="ar"/>
        </w:rPr>
        <w:t xml:space="preserve"> XX专项基金</w:t>
      </w:r>
      <w:bookmarkEnd w:id="0"/>
      <w:bookmarkEnd w:id="1"/>
      <w:bookmarkEnd w:id="2"/>
      <w:bookmarkEnd w:id="3"/>
    </w:p>
    <w:p>
      <w:pPr>
        <w:widowControl/>
        <w:spacing w:line="360" w:lineRule="auto"/>
        <w:jc w:val="center"/>
        <w:outlineLvl w:val="0"/>
        <w:rPr>
          <w:rFonts w:hint="default" w:ascii="方正小标宋简体" w:hAnsi="方正小标宋简体" w:eastAsia="方正小标宋简体" w:cs="方正小标宋简体"/>
          <w:color w:val="000000"/>
          <w:kern w:val="0"/>
          <w:sz w:val="52"/>
          <w:szCs w:val="52"/>
          <w:lang w:val="en-US" w:eastAsia="zh-CN" w:bidi="ar"/>
        </w:rPr>
      </w:pPr>
      <w:r>
        <w:rPr>
          <w:rFonts w:hint="eastAsia" w:ascii="方正小标宋简体" w:hAnsi="方正小标宋简体" w:eastAsia="方正小标宋简体" w:cs="方正小标宋简体"/>
          <w:color w:val="000000"/>
          <w:kern w:val="0"/>
          <w:sz w:val="52"/>
          <w:szCs w:val="52"/>
          <w:lang w:val="en-US" w:eastAsia="zh-CN" w:bidi="ar"/>
        </w:rPr>
        <w:t xml:space="preserve"> XX社区基金</w:t>
      </w:r>
    </w:p>
    <w:p>
      <w:pPr>
        <w:widowControl/>
        <w:spacing w:line="360" w:lineRule="auto"/>
        <w:jc w:val="center"/>
        <w:rPr>
          <w:rFonts w:hint="eastAsia" w:ascii="方正小标宋简体" w:hAnsi="方正小标宋简体" w:eastAsia="方正小标宋简体" w:cs="方正小标宋简体"/>
          <w:color w:val="000000"/>
          <w:kern w:val="0"/>
          <w:sz w:val="52"/>
          <w:szCs w:val="52"/>
          <w:lang w:val="en-US" w:eastAsia="zh-CN" w:bidi="ar"/>
        </w:rPr>
      </w:pPr>
      <w:r>
        <w:rPr>
          <w:rFonts w:hint="eastAsia" w:ascii="方正小标宋简体" w:hAnsi="方正小标宋简体" w:eastAsia="方正小标宋简体" w:cs="方正小标宋简体"/>
          <w:color w:val="000000"/>
          <w:kern w:val="0"/>
          <w:sz w:val="52"/>
          <w:szCs w:val="52"/>
          <w:lang w:val="en-US" w:eastAsia="zh-CN" w:bidi="ar"/>
        </w:rPr>
        <w:t>自治运营规章</w:t>
      </w:r>
    </w:p>
    <w:p>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hint="eastAsia" w:ascii="方正小标宋简体" w:hAnsi="方正小标宋简体" w:eastAsia="方正小标宋简体" w:cs="方正小标宋简体"/>
          <w:color w:val="000000"/>
          <w:kern w:val="0"/>
          <w:sz w:val="72"/>
          <w:szCs w:val="72"/>
          <w:lang w:val="en-US" w:eastAsia="zh-CN" w:bidi="ar"/>
        </w:rPr>
      </w:pPr>
    </w:p>
    <w:p>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hint="eastAsia" w:ascii="方正小标宋简体" w:hAnsi="方正小标宋简体" w:eastAsia="方正小标宋简体" w:cs="方正小标宋简体"/>
          <w:color w:val="000000"/>
          <w:kern w:val="0"/>
          <w:sz w:val="72"/>
          <w:szCs w:val="72"/>
          <w:lang w:val="en-US" w:eastAsia="zh-CN" w:bidi="ar"/>
        </w:rPr>
      </w:pPr>
    </w:p>
    <w:p>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hint="eastAsia" w:ascii="方正小标宋简体" w:hAnsi="方正小标宋简体" w:eastAsia="方正小标宋简体" w:cs="方正小标宋简体"/>
          <w:color w:val="000000"/>
          <w:kern w:val="0"/>
          <w:sz w:val="72"/>
          <w:szCs w:val="72"/>
          <w:lang w:val="en-US" w:eastAsia="zh-CN" w:bidi="ar"/>
        </w:rPr>
      </w:pPr>
    </w:p>
    <w:p>
      <w:pPr>
        <w:pStyle w:val="2"/>
        <w:bidi w:val="0"/>
        <w:jc w:val="both"/>
        <w:rPr>
          <w:rFonts w:hint="eastAsia" w:ascii="方正小标宋简体" w:hAnsi="方正小标宋简体" w:eastAsia="方正小标宋简体" w:cs="方正小标宋简体"/>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bookmarkStart w:id="4" w:name="_Toc2738"/>
      <w:bookmarkStart w:id="5" w:name="_Toc13291"/>
    </w:p>
    <w:p>
      <w:pPr>
        <w:pStyle w:val="2"/>
        <w:pageBreakBefore w:val="0"/>
        <w:widowControl w:val="0"/>
        <w:kinsoku/>
        <w:wordWrap/>
        <w:topLinePunct w:val="0"/>
        <w:autoSpaceDE/>
        <w:autoSpaceDN/>
        <w:bidi w:val="0"/>
        <w:adjustRightInd/>
        <w:spacing w:line="560" w:lineRule="exact"/>
        <w:jc w:val="center"/>
        <w:textAlignment w:val="auto"/>
        <w:rPr>
          <w:rFonts w:hint="eastAsia" w:ascii="仿宋_GB2312" w:eastAsia="仿宋_GB2312"/>
          <w:sz w:val="32"/>
          <w:szCs w:val="32"/>
          <w:lang w:val="en-US" w:eastAsia="zh-CN"/>
        </w:rPr>
      </w:pPr>
      <w:bookmarkStart w:id="6" w:name="_Toc23890"/>
      <w:r>
        <w:rPr>
          <w:rFonts w:hint="eastAsia" w:ascii="方正小标宋简体" w:hAnsi="方正小标宋简体" w:eastAsia="方正小标宋简体" w:cs="方正小标宋简体"/>
          <w:lang w:val="en-US" w:eastAsia="zh-CN"/>
        </w:rPr>
        <w:t>XX社区基金自治运营规章</w:t>
      </w:r>
      <w:bookmarkEnd w:id="4"/>
      <w:bookmarkEnd w:id="5"/>
      <w:bookmarkEnd w:id="6"/>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firstLine="640" w:firstLineChars="200"/>
        <w:jc w:val="both"/>
        <w:textAlignment w:val="auto"/>
        <w:rPr>
          <w:rFonts w:hint="default" w:ascii="仿宋_GB2312" w:hAnsi="仿宋_GB2312" w:eastAsia="仿宋_GB2312" w:cs="仿宋_GB2312"/>
          <w:sz w:val="32"/>
          <w:szCs w:val="40"/>
          <w:highlight w:val="yellow"/>
          <w:lang w:val="en-US" w:eastAsia="zh-CN"/>
        </w:rPr>
      </w:pPr>
      <w:r>
        <w:rPr>
          <w:rFonts w:hint="eastAsia" w:ascii="仿宋_GB2312" w:eastAsia="仿宋_GB2312"/>
          <w:sz w:val="32"/>
          <w:szCs w:val="32"/>
          <w:lang w:val="en-US" w:eastAsia="zh-CN"/>
        </w:rPr>
        <w:t>为激活社区慈善力量，促进社区多元慈善力量参与社区公益，搭建社区级慈善服务平台，培育社区慈善力量，发挥社区基金功能，</w:t>
      </w:r>
      <w:r>
        <w:rPr>
          <w:rFonts w:hint="default" w:ascii="Times New Roman" w:hAnsi="Times New Roman" w:eastAsia="仿宋_GB2312" w:cs="Times New Roman"/>
          <w:i w:val="0"/>
          <w:iCs w:val="0"/>
          <w:caps w:val="0"/>
          <w:kern w:val="0"/>
          <w:sz w:val="32"/>
          <w:szCs w:val="32"/>
          <w:shd w:val="clear" w:fill="FFFFFF"/>
          <w:lang w:val="en-US" w:eastAsia="zh-CN" w:bidi="ar"/>
        </w:rPr>
        <w:t>根据《中华人民共和国慈善法</w:t>
      </w:r>
      <w:r>
        <w:rPr>
          <w:rFonts w:hint="default" w:ascii="Times New Roman" w:hAnsi="Times New Roman" w:eastAsia="仿宋_GB2312" w:cs="Times New Roman"/>
          <w:sz w:val="32"/>
          <w:szCs w:val="32"/>
        </w:rPr>
        <w:t>》《慈善组织公开募捐管理办法》</w:t>
      </w:r>
      <w:r>
        <w:rPr>
          <w:rFonts w:hint="default" w:ascii="Times New Roman" w:hAnsi="Times New Roman" w:eastAsia="仿宋_GB2312" w:cs="Times New Roman"/>
          <w:i w:val="0"/>
          <w:iCs w:val="0"/>
          <w:caps w:val="0"/>
          <w:kern w:val="0"/>
          <w:sz w:val="32"/>
          <w:szCs w:val="32"/>
          <w:shd w:val="clear" w:fill="FFFFFF"/>
          <w:lang w:val="en-US" w:eastAsia="zh-CN" w:bidi="ar"/>
        </w:rPr>
        <w:t>《民政部关于进一步加强基金会专项基金管理工作的通知》</w:t>
      </w:r>
      <w:bookmarkStart w:id="7" w:name="_Toc3780"/>
      <w:bookmarkStart w:id="8" w:name="_Toc7604"/>
      <w:r>
        <w:rPr>
          <w:rFonts w:hint="eastAsia" w:ascii="Times New Roman" w:hAnsi="Times New Roman" w:eastAsia="仿宋_GB2312" w:cs="Times New Roman"/>
          <w:i w:val="0"/>
          <w:iCs w:val="0"/>
          <w:caps w:val="0"/>
          <w:kern w:val="0"/>
          <w:sz w:val="32"/>
          <w:szCs w:val="32"/>
          <w:shd w:val="clear" w:fill="FFFFFF"/>
          <w:lang w:val="en-US" w:eastAsia="zh-CN" w:bidi="ar"/>
        </w:rPr>
        <w:t>等相关法律规定和《昆明市官渡区慈善协会专项基金管理办法》《昆明市官渡区慈善协会“益心益意”社区专项基金管理办法》有关规定制定本自治运营规章。</w:t>
      </w:r>
    </w:p>
    <w:p>
      <w:pPr>
        <w:pStyle w:val="3"/>
        <w:pageBreakBefore w:val="0"/>
        <w:widowControl w:val="0"/>
        <w:kinsoku/>
        <w:wordWrap/>
        <w:topLinePunct w:val="0"/>
        <w:autoSpaceDE/>
        <w:autoSpaceDN/>
        <w:bidi w:val="0"/>
        <w:adjustRightInd/>
        <w:spacing w:line="560" w:lineRule="exact"/>
        <w:textAlignment w:val="auto"/>
        <w:rPr>
          <w:rFonts w:hint="eastAsia" w:ascii="仿宋_GB2312" w:eastAsia="仿宋_GB2312" w:hAnsiTheme="minorHAnsi" w:cstheme="minorBidi"/>
          <w:b w:val="0"/>
          <w:kern w:val="2"/>
          <w:sz w:val="32"/>
          <w:szCs w:val="32"/>
          <w:lang w:val="en-US" w:eastAsia="zh-CN" w:bidi="ar-SA"/>
        </w:rPr>
      </w:pPr>
      <w:r>
        <w:rPr>
          <w:rFonts w:hint="eastAsia" w:ascii="黑体" w:hAnsi="黑体" w:eastAsia="黑体" w:cs="黑体"/>
          <w:b w:val="0"/>
          <w:kern w:val="2"/>
          <w:sz w:val="32"/>
          <w:szCs w:val="32"/>
          <w:lang w:val="en-US" w:eastAsia="zh-CN" w:bidi="ar-SA"/>
        </w:rPr>
        <w:t>一、总则</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仿宋_GB2312" w:eastAsia="仿宋_GB2312"/>
          <w:sz w:val="32"/>
          <w:szCs w:val="32"/>
          <w:u w:val="none"/>
          <w:lang w:val="en-US" w:eastAsia="zh-CN"/>
        </w:rPr>
      </w:pPr>
      <w:r>
        <w:rPr>
          <w:rFonts w:hint="eastAsia" w:ascii="仿宋_GB2312" w:eastAsia="仿宋_GB2312"/>
          <w:b/>
          <w:bCs/>
          <w:sz w:val="32"/>
          <w:szCs w:val="32"/>
          <w:lang w:val="en-US" w:eastAsia="zh-CN"/>
        </w:rPr>
        <w:t>第一条</w:t>
      </w:r>
      <w:r>
        <w:rPr>
          <w:rFonts w:hint="eastAsia" w:ascii="仿宋_GB2312" w:eastAsia="仿宋_GB2312"/>
          <w:sz w:val="32"/>
          <w:szCs w:val="32"/>
          <w:lang w:val="en-US" w:eastAsia="zh-CN"/>
        </w:rPr>
        <w:t xml:space="preserve"> 本社区基金名称为昆明市官渡区慈善协会</w:t>
      </w:r>
      <w:r>
        <w:rPr>
          <w:rFonts w:hint="eastAsia" w:ascii="仿宋_GB2312" w:eastAsia="仿宋_GB2312"/>
          <w:sz w:val="32"/>
          <w:szCs w:val="32"/>
          <w:u w:val="none"/>
          <w:lang w:val="en-US" w:eastAsia="zh-CN"/>
        </w:rPr>
        <w:t>·</w:t>
      </w:r>
      <w:r>
        <w:rPr>
          <w:rFonts w:hint="eastAsia" w:ascii="Times New Roman" w:hAnsi="Times New Roman" w:eastAsia="仿宋_GB2312"/>
          <w:sz w:val="32"/>
          <w:szCs w:val="32"/>
          <w:highlight w:val="yellow"/>
          <w:u w:val="single"/>
          <w:lang w:val="en-US" w:eastAsia="zh-CN"/>
        </w:rPr>
        <w:t>XX专项基金XX</w:t>
      </w:r>
      <w:r>
        <w:rPr>
          <w:rFonts w:hint="eastAsia" w:ascii="仿宋_GB2312" w:eastAsia="仿宋_GB2312"/>
          <w:sz w:val="32"/>
          <w:szCs w:val="32"/>
          <w:highlight w:val="yellow"/>
          <w:u w:val="single"/>
          <w:lang w:val="en-US" w:eastAsia="zh-CN"/>
        </w:rPr>
        <w:t xml:space="preserve">社区基金。 </w:t>
      </w:r>
      <w:r>
        <w:rPr>
          <w:rFonts w:hint="eastAsia" w:ascii="仿宋_GB2312" w:eastAsia="仿宋_GB2312"/>
          <w:sz w:val="32"/>
          <w:szCs w:val="32"/>
          <w:u w:val="none"/>
          <w:lang w:val="en-US" w:eastAsia="zh-CN"/>
        </w:rPr>
        <w:t>其性质为专项基金下的社区基金（或子项目），各社区基金（子项目）可设置社区基金管委会（项目管理小组）负责社区基金运行。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第二条</w:t>
      </w:r>
      <w:r>
        <w:rPr>
          <w:rFonts w:hint="eastAsia" w:ascii="仿宋_GB2312" w:eastAsia="仿宋_GB2312"/>
          <w:sz w:val="32"/>
          <w:szCs w:val="32"/>
          <w:lang w:val="en-US" w:eastAsia="zh-CN"/>
        </w:rPr>
        <w:t xml:space="preserve"> 为响应党二十大关于加强和创新社会治理的号召，形成多元主体参与社区治理的格局，需要培养社区内生力量，增强自下而上的公共参与，提高社区居民关注社区事务的意识和解决社区事务的能力，特成立专项基金并设子项目社区基金为社区治理实践提供物质和可持续发展机制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仿宋_GB2312" w:eastAsia="仿宋_GB2312"/>
          <w:sz w:val="32"/>
          <w:szCs w:val="32"/>
          <w:lang w:val="en-US" w:eastAsia="zh-CN"/>
        </w:rPr>
      </w:pPr>
      <w:bookmarkStart w:id="9" w:name="_Toc13229"/>
      <w:bookmarkStart w:id="10" w:name="_Toc9063"/>
      <w:bookmarkStart w:id="11" w:name="_Toc12238"/>
      <w:bookmarkStart w:id="12" w:name="_Toc29657"/>
      <w:bookmarkStart w:id="13" w:name="_Toc4237"/>
      <w:r>
        <w:rPr>
          <w:rFonts w:hint="eastAsia" w:ascii="仿宋_GB2312" w:eastAsia="仿宋_GB2312"/>
          <w:b/>
          <w:bCs/>
          <w:sz w:val="32"/>
          <w:szCs w:val="32"/>
          <w:lang w:val="en-US" w:eastAsia="zh-CN"/>
        </w:rPr>
        <w:t>第三条</w:t>
      </w:r>
      <w:r>
        <w:rPr>
          <w:rFonts w:hint="eastAsia" w:ascii="仿宋_GB2312" w:eastAsia="仿宋_GB2312"/>
          <w:sz w:val="32"/>
          <w:szCs w:val="32"/>
          <w:lang w:val="en-US" w:eastAsia="zh-CN"/>
        </w:rPr>
        <w:t xml:space="preserve"> 社区基金的使用坚持以下原则：</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（一）坚持党政领导、社区为主、各界参与；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（二）坚持以居民需求为导向，推进社区自主发展；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（三）坚持民主决策、规范管理、公开公平运作。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40"/>
          <w:highlight w:val="yellow"/>
          <w:lang w:val="en-US" w:eastAsia="zh-CN"/>
        </w:rPr>
      </w:pPr>
      <w:r>
        <w:rPr>
          <w:rFonts w:hint="eastAsia" w:ascii="仿宋_GB2312" w:eastAsia="仿宋_GB2312"/>
          <w:b/>
          <w:bCs/>
          <w:sz w:val="32"/>
          <w:szCs w:val="32"/>
          <w:lang w:val="en-US" w:eastAsia="zh-CN"/>
        </w:rPr>
        <w:t>第四条</w:t>
      </w:r>
      <w:r>
        <w:rPr>
          <w:rFonts w:hint="eastAsia" w:ascii="仿宋_GB2312" w:eastAsia="仿宋_GB2312"/>
          <w:sz w:val="32"/>
          <w:szCs w:val="32"/>
          <w:lang w:val="en-US" w:eastAsia="zh-CN"/>
        </w:rPr>
        <w:t xml:space="preserve"> 社区基金的宗旨是:</w:t>
      </w:r>
      <w:r>
        <w:rPr>
          <w:rFonts w:hint="eastAsia" w:ascii="仿宋_GB2312" w:eastAsia="仿宋_GB2312"/>
          <w:sz w:val="32"/>
          <w:szCs w:val="32"/>
          <w:highlight w:val="yellow"/>
          <w:u w:val="single"/>
          <w:lang w:val="en-US" w:eastAsia="zh-CN"/>
        </w:rPr>
        <w:t>（参考）以项目资助的方式支持社区的草根行动，作为一项资源，社区群团组织和以社区为基础的社会组织等可利用它来推动各种类型的社区行动计划，一方面籍此满足社区各方面的需求，另一方面也能协助推动社区治理</w:t>
      </w:r>
      <w:r>
        <w:rPr>
          <w:rFonts w:hint="eastAsia" w:ascii="仿宋_GB2312" w:eastAsia="仿宋_GB2312"/>
          <w:sz w:val="32"/>
          <w:szCs w:val="32"/>
          <w:highlight w:val="yellow"/>
          <w:u w:val="none"/>
          <w:lang w:val="en-US" w:eastAsia="zh-CN"/>
        </w:rPr>
        <w:t>。</w:t>
      </w:r>
    </w:p>
    <w:p>
      <w:pPr>
        <w:pStyle w:val="3"/>
        <w:pageBreakBefore w:val="0"/>
        <w:widowControl w:val="0"/>
        <w:kinsoku/>
        <w:wordWrap/>
        <w:topLinePunct w:val="0"/>
        <w:autoSpaceDE/>
        <w:autoSpaceDN/>
        <w:bidi w:val="0"/>
        <w:adjustRightInd/>
        <w:spacing w:line="560" w:lineRule="exact"/>
        <w:textAlignment w:val="auto"/>
        <w:rPr>
          <w:rFonts w:hint="eastAsia" w:ascii="黑体" w:hAnsi="黑体" w:eastAsia="黑体" w:cs="黑体"/>
          <w:b w:val="0"/>
          <w:kern w:val="2"/>
          <w:sz w:val="32"/>
          <w:szCs w:val="32"/>
          <w:lang w:val="en-US" w:eastAsia="zh-CN" w:bidi="ar-SA"/>
        </w:rPr>
      </w:pPr>
      <w:bookmarkStart w:id="14" w:name="_Toc26053"/>
      <w:bookmarkStart w:id="15" w:name="_Toc15985"/>
      <w:r>
        <w:rPr>
          <w:rFonts w:hint="eastAsia" w:ascii="黑体" w:hAnsi="黑体" w:eastAsia="黑体" w:cs="黑体"/>
          <w:b w:val="0"/>
          <w:kern w:val="2"/>
          <w:sz w:val="32"/>
          <w:szCs w:val="32"/>
          <w:lang w:val="en-US" w:eastAsia="zh-CN" w:bidi="ar-SA"/>
        </w:rPr>
        <w:t>二、组织</w:t>
      </w:r>
      <w:r>
        <w:rPr>
          <w:rFonts w:hint="eastAsia" w:ascii="黑体" w:hAnsi="黑体" w:cs="黑体"/>
          <w:b w:val="0"/>
          <w:kern w:val="2"/>
          <w:sz w:val="32"/>
          <w:szCs w:val="32"/>
          <w:lang w:val="en-US" w:eastAsia="zh-CN" w:bidi="ar-SA"/>
        </w:rPr>
        <w:t>架构</w:t>
      </w:r>
      <w:r>
        <w:rPr>
          <w:rFonts w:hint="eastAsia" w:ascii="黑体" w:hAnsi="黑体" w:eastAsia="黑体" w:cs="黑体"/>
          <w:b w:val="0"/>
          <w:kern w:val="2"/>
          <w:sz w:val="32"/>
          <w:szCs w:val="32"/>
          <w:lang w:val="en-US" w:eastAsia="zh-CN" w:bidi="ar-SA"/>
        </w:rPr>
        <w:t>及职责</w:t>
      </w:r>
      <w:bookmarkEnd w:id="14"/>
      <w:bookmarkEnd w:id="15"/>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0"/>
        <w:rPr>
          <w:rFonts w:hint="default" w:ascii="Times New Roman" w:hAnsi="Times New Roman" w:eastAsia="仿宋_GB2312"/>
          <w:sz w:val="32"/>
          <w:szCs w:val="32"/>
          <w:lang w:val="en-US" w:eastAsia="zh-CN"/>
        </w:rPr>
      </w:pPr>
      <w:bookmarkStart w:id="16" w:name="_Toc4213"/>
      <w:bookmarkStart w:id="17" w:name="_Toc18342"/>
      <w:bookmarkStart w:id="18" w:name="_Toc10823"/>
      <w:bookmarkStart w:id="19" w:name="_Toc29883"/>
      <w:bookmarkStart w:id="20" w:name="_Toc24146"/>
      <w:r>
        <w:rPr>
          <w:rFonts w:hint="eastAsia" w:ascii="Times New Roman" w:hAnsi="Times New Roman" w:eastAsia="仿宋_GB2312"/>
          <w:b/>
          <w:bCs/>
          <w:sz w:val="32"/>
          <w:szCs w:val="32"/>
          <w:lang w:val="en-US" w:eastAsia="zh-CN"/>
        </w:rPr>
        <w:t>第五条</w:t>
      </w:r>
      <w:r>
        <w:rPr>
          <w:rFonts w:hint="eastAsia" w:ascii="Times New Roman" w:hAnsi="Times New Roman" w:eastAsia="仿宋_GB2312"/>
          <w:sz w:val="32"/>
          <w:szCs w:val="32"/>
          <w:lang w:val="en-US" w:eastAsia="zh-CN"/>
        </w:rPr>
        <w:t xml:space="preserve"> 社区基金管理委员会</w:t>
      </w:r>
      <w:bookmarkEnd w:id="16"/>
      <w:bookmarkEnd w:id="17"/>
      <w:bookmarkEnd w:id="18"/>
      <w:bookmarkEnd w:id="19"/>
      <w:bookmarkEnd w:id="20"/>
    </w:p>
    <w:p>
      <w:pPr>
        <w:keepNext w:val="0"/>
        <w:keepLines w:val="0"/>
        <w:pageBreakBefore w:val="0"/>
        <w:widowControl w:val="0"/>
        <w:kinsoku/>
        <w:wordWrap/>
        <w:overflowPunct w:val="0"/>
        <w:topLinePunct w:val="0"/>
        <w:autoSpaceDE/>
        <w:autoSpaceDN/>
        <w:bidi w:val="0"/>
        <w:adjustRightInd/>
        <w:snapToGrid/>
        <w:spacing w:line="560" w:lineRule="exact"/>
        <w:jc w:val="left"/>
        <w:textAlignment w:val="auto"/>
        <w:rPr>
          <w:rFonts w:hint="default" w:ascii="Times New Roman" w:hAnsi="Times New Roman" w:eastAsia="仿宋_GB2312"/>
          <w:sz w:val="32"/>
          <w:szCs w:val="32"/>
          <w:u w:val="single"/>
          <w:lang w:val="en-US" w:eastAsia="zh-CN"/>
        </w:rPr>
      </w:pPr>
      <w:r>
        <w:rPr>
          <w:rFonts w:hint="eastAsia" w:ascii="Times New Roman" w:hAnsi="Times New Roman" w:eastAsia="仿宋_GB2312"/>
          <w:sz w:val="32"/>
          <w:szCs w:val="32"/>
          <w:lang w:val="en-US" w:eastAsia="zh-CN"/>
        </w:rPr>
        <w:t>（一）XX社区基金管委会成员为：</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u w:val="none"/>
          <w:lang w:val="en-US" w:eastAsia="zh-CN"/>
        </w:rPr>
        <w:t>。</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1"/>
        <w:rPr>
          <w:rFonts w:hint="eastAsia" w:ascii="Times New Roman" w:hAnsi="Times New Roman" w:eastAsia="仿宋_GB2312"/>
          <w:sz w:val="32"/>
          <w:szCs w:val="32"/>
          <w:lang w:val="en-US" w:eastAsia="zh-CN"/>
        </w:rPr>
      </w:pPr>
      <w:bookmarkStart w:id="21" w:name="_Toc9001"/>
      <w:bookmarkStart w:id="22" w:name="_Toc16600"/>
      <w:bookmarkStart w:id="23" w:name="_Toc11093"/>
      <w:bookmarkStart w:id="24" w:name="_Toc24210"/>
      <w:bookmarkStart w:id="25" w:name="_Toc20535"/>
      <w:r>
        <w:rPr>
          <w:rFonts w:hint="eastAsia" w:ascii="Times New Roman" w:hAnsi="Times New Roman" w:eastAsia="仿宋_GB2312"/>
          <w:sz w:val="32"/>
          <w:szCs w:val="32"/>
          <w:lang w:val="en-US" w:eastAsia="zh-CN"/>
        </w:rPr>
        <w:t>（三）社区基金管委会的主要职责：</w:t>
      </w:r>
      <w:bookmarkEnd w:id="21"/>
      <w:bookmarkEnd w:id="22"/>
      <w:bookmarkEnd w:id="23"/>
      <w:bookmarkEnd w:id="24"/>
      <w:bookmarkEnd w:id="25"/>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1.保证基金的使用及所资助的项目符合国家有关政策及慈善协会的章程、专项基金管理办法；</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2.制定社区基金自治运营规章；</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3.审议和批准秘书处提交的年度计划、工作报告； </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4.决定社区基金的筹集和使用方向； </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5.其它需要管委会决定的事项。</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（四）社区基金管委会会议不定期召开，会议由秘书处负责召集，</w:t>
      </w:r>
      <w:r>
        <w:rPr>
          <w:rFonts w:hint="eastAsia" w:ascii="Times New Roman" w:hAnsi="Times New Roman" w:eastAsia="仿宋_GB2312" w:cs="Times New Roman"/>
          <w:sz w:val="32"/>
          <w:szCs w:val="32"/>
          <w:lang w:val="en-US" w:eastAsia="zh-CN"/>
        </w:rPr>
        <w:t>须有2/3以上管委会成员出席、1/2以上参会人员通过才能形成决议。</w:t>
      </w:r>
      <w:r>
        <w:rPr>
          <w:rFonts w:hint="eastAsia" w:ascii="Times New Roman" w:hAnsi="Times New Roman" w:eastAsia="仿宋_GB2312"/>
          <w:sz w:val="32"/>
          <w:szCs w:val="32"/>
          <w:lang w:val="en-US" w:eastAsia="zh-CN"/>
        </w:rPr>
        <w:t>每次管委会会议，秘书处需填写《官渡区慈善协会XX社区专项基金xxs社区基金管委会决议表》，管委会成员表决并签字。</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（五）社区基金管委会成员的工作为志愿者性质，可设有工作补贴，补贴标准根据捐赠人意愿讨论决定。管委会成员采取灵活工作时间，根据社区基金各阶段工作需要安排工作时间。</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（六）社区基金可根据工作实际需要，在经XX专项基金管委会同意的前提下，可聘请人员担任其社区基金的荣誉职务。</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0"/>
        <w:rPr>
          <w:rFonts w:hint="eastAsia" w:ascii="Times New Roman" w:hAnsi="Times New Roman" w:eastAsia="仿宋_GB2312"/>
          <w:sz w:val="32"/>
          <w:szCs w:val="32"/>
          <w:lang w:val="en-US" w:eastAsia="zh-CN"/>
        </w:rPr>
      </w:pPr>
      <w:bookmarkStart w:id="26" w:name="_Toc9273"/>
      <w:bookmarkStart w:id="27" w:name="_Toc23384"/>
      <w:bookmarkStart w:id="28" w:name="_Toc14909"/>
      <w:bookmarkStart w:id="29" w:name="_Toc29107"/>
      <w:bookmarkStart w:id="30" w:name="_Toc21032"/>
      <w:r>
        <w:rPr>
          <w:rFonts w:hint="eastAsia" w:ascii="Times New Roman" w:hAnsi="Times New Roman" w:eastAsia="仿宋_GB2312"/>
          <w:b/>
          <w:bCs/>
          <w:sz w:val="32"/>
          <w:szCs w:val="32"/>
          <w:lang w:val="en-US" w:eastAsia="zh-CN"/>
        </w:rPr>
        <w:t xml:space="preserve">第六条 </w:t>
      </w:r>
      <w:r>
        <w:rPr>
          <w:rFonts w:hint="eastAsia" w:ascii="Times New Roman" w:hAnsi="Times New Roman" w:eastAsia="仿宋_GB2312"/>
          <w:sz w:val="32"/>
          <w:szCs w:val="32"/>
          <w:lang w:val="en-US" w:eastAsia="zh-CN"/>
        </w:rPr>
        <w:t>社区基金秘书处</w:t>
      </w:r>
      <w:bookmarkEnd w:id="26"/>
      <w:bookmarkEnd w:id="27"/>
      <w:bookmarkEnd w:id="28"/>
      <w:bookmarkEnd w:id="29"/>
      <w:bookmarkEnd w:id="30"/>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（一）管委会下设社区基金秘书处，系管委会执行机构。秘书处由1~3人组成，秘书长为：</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lang w:val="en-US" w:eastAsia="zh-CN"/>
        </w:rPr>
        <w:t>，工作人员：</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1"/>
        <w:rPr>
          <w:rFonts w:hint="eastAsia" w:ascii="Times New Roman" w:hAnsi="Times New Roman" w:eastAsia="仿宋_GB2312"/>
          <w:sz w:val="32"/>
          <w:szCs w:val="32"/>
          <w:lang w:val="en-US" w:eastAsia="zh-CN"/>
        </w:rPr>
      </w:pPr>
      <w:bookmarkStart w:id="31" w:name="_Toc14791"/>
      <w:bookmarkStart w:id="32" w:name="_Toc18362"/>
      <w:bookmarkStart w:id="33" w:name="_Toc30033"/>
      <w:bookmarkStart w:id="34" w:name="_Toc29906"/>
      <w:bookmarkStart w:id="35" w:name="_Toc22739"/>
      <w:r>
        <w:rPr>
          <w:rFonts w:hint="eastAsia" w:ascii="Times New Roman" w:hAnsi="Times New Roman" w:eastAsia="仿宋_GB2312"/>
          <w:sz w:val="32"/>
          <w:szCs w:val="32"/>
          <w:lang w:val="en-US" w:eastAsia="zh-CN"/>
        </w:rPr>
        <w:t>（二）社区基金秘书处主要职责：</w:t>
      </w:r>
      <w:bookmarkEnd w:id="31"/>
      <w:bookmarkEnd w:id="32"/>
      <w:bookmarkEnd w:id="33"/>
      <w:bookmarkEnd w:id="34"/>
      <w:bookmarkEnd w:id="35"/>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2"/>
        <w:rPr>
          <w:rFonts w:hint="eastAsia"/>
          <w:lang w:val="en-US" w:eastAsia="zh-CN"/>
        </w:rPr>
      </w:pPr>
      <w:bookmarkStart w:id="36" w:name="_Toc21301"/>
      <w:bookmarkStart w:id="37" w:name="_Toc2229"/>
      <w:bookmarkStart w:id="38" w:name="_Toc31411"/>
      <w:r>
        <w:rPr>
          <w:rFonts w:hint="eastAsia" w:ascii="Times New Roman" w:hAnsi="Times New Roman" w:eastAsia="仿宋_GB2312"/>
          <w:sz w:val="32"/>
          <w:szCs w:val="32"/>
          <w:lang w:val="en-US" w:eastAsia="zh-CN"/>
        </w:rPr>
        <w:t>1.在管委会的领导下，具体负责基金的内部运营、宣传推广；</w:t>
      </w:r>
      <w:bookmarkEnd w:id="36"/>
      <w:bookmarkEnd w:id="37"/>
      <w:bookmarkEnd w:id="38"/>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2.负责社区基金筹款中的社区动员支持，链接社区内外部资源，协助筹资工作；</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lang w:val="en-US" w:eastAsia="zh-CN"/>
        </w:rPr>
      </w:pPr>
      <w:r>
        <w:rPr>
          <w:rFonts w:hint="eastAsia" w:ascii="Times New Roman" w:hAnsi="Times New Roman" w:eastAsia="仿宋_GB2312"/>
          <w:sz w:val="32"/>
          <w:szCs w:val="32"/>
          <w:lang w:val="en-US" w:eastAsia="zh-CN"/>
        </w:rPr>
        <w:t>3.负责组织项目提案申请及项目优化工作；</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b w:val="0"/>
          <w:bCs w:val="0"/>
          <w:sz w:val="32"/>
          <w:szCs w:val="32"/>
          <w:lang w:val="en-US" w:eastAsia="zh-CN"/>
        </w:rPr>
      </w:pPr>
      <w:r>
        <w:rPr>
          <w:rFonts w:hint="eastAsia" w:ascii="Times New Roman" w:hAnsi="Times New Roman" w:eastAsia="仿宋_GB2312"/>
          <w:b w:val="0"/>
          <w:bCs w:val="0"/>
          <w:sz w:val="32"/>
          <w:szCs w:val="32"/>
          <w:lang w:val="en-US" w:eastAsia="zh-CN"/>
        </w:rPr>
        <w:t>4.负责组织资助评审小组及开展评审工作；</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b w:val="0"/>
          <w:bCs w:val="0"/>
          <w:sz w:val="32"/>
          <w:szCs w:val="32"/>
          <w:lang w:val="en-US" w:eastAsia="zh-CN"/>
        </w:rPr>
      </w:pPr>
      <w:r>
        <w:rPr>
          <w:rFonts w:hint="eastAsia" w:ascii="Times New Roman" w:hAnsi="Times New Roman" w:eastAsia="仿宋_GB2312"/>
          <w:b w:val="0"/>
          <w:bCs w:val="0"/>
          <w:sz w:val="32"/>
          <w:szCs w:val="32"/>
          <w:lang w:val="en-US" w:eastAsia="zh-CN"/>
        </w:rPr>
        <w:t>5.负责项目执行过程的监督；</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b w:val="0"/>
          <w:bCs w:val="0"/>
          <w:sz w:val="32"/>
          <w:szCs w:val="32"/>
          <w:lang w:val="en-US" w:eastAsia="zh-CN"/>
        </w:rPr>
      </w:pPr>
      <w:r>
        <w:rPr>
          <w:rFonts w:hint="eastAsia" w:ascii="Times New Roman" w:hAnsi="Times New Roman" w:eastAsia="仿宋_GB2312"/>
          <w:b w:val="0"/>
          <w:bCs w:val="0"/>
          <w:sz w:val="32"/>
          <w:szCs w:val="32"/>
          <w:lang w:val="en-US" w:eastAsia="zh-CN"/>
        </w:rPr>
        <w:t>6.负责资助项目财务规范性指导、资料收集及报销审核工作；</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b/>
          <w:bCs/>
          <w:sz w:val="32"/>
          <w:szCs w:val="32"/>
          <w:lang w:val="en-US" w:eastAsia="zh-CN"/>
        </w:rPr>
      </w:pPr>
      <w:r>
        <w:rPr>
          <w:rFonts w:hint="eastAsia" w:ascii="Times New Roman" w:hAnsi="Times New Roman" w:eastAsia="仿宋_GB2312"/>
          <w:b w:val="0"/>
          <w:bCs w:val="0"/>
          <w:sz w:val="32"/>
          <w:szCs w:val="32"/>
          <w:lang w:val="en-US" w:eastAsia="zh-CN"/>
        </w:rPr>
        <w:t>7.其它需要秘书处沟通对接的事项。</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社区基金秘书处的工作为志愿者性质，可以有工作补贴，补贴标准根据捐赠人意愿讨论决定。秘书处成员采取灵活工作时间，根据社区基金各阶段工作需要安排工作时间。如秘书处工作内容较多，工作频率较高，可从筹款金额中提取劳务补贴，用于秘书处人员的工作补贴或购买第三方服务。</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0"/>
        <w:rPr>
          <w:rFonts w:hint="eastAsia" w:ascii="Times New Roman" w:hAnsi="Times New Roman" w:eastAsia="仿宋_GB2312"/>
          <w:b w:val="0"/>
          <w:bCs w:val="0"/>
          <w:sz w:val="32"/>
          <w:szCs w:val="32"/>
          <w:lang w:val="en-US" w:eastAsia="zh-CN"/>
        </w:rPr>
      </w:pPr>
      <w:bookmarkStart w:id="39" w:name="_Toc1478"/>
      <w:bookmarkStart w:id="40" w:name="_Toc14185"/>
      <w:bookmarkStart w:id="41" w:name="_Toc19791"/>
      <w:bookmarkStart w:id="42" w:name="_Toc6307"/>
      <w:bookmarkStart w:id="43" w:name="_Toc15833"/>
      <w:r>
        <w:rPr>
          <w:rFonts w:hint="eastAsia" w:ascii="Times New Roman" w:hAnsi="Times New Roman" w:eastAsia="仿宋_GB2312"/>
          <w:b/>
          <w:bCs/>
          <w:sz w:val="32"/>
          <w:szCs w:val="32"/>
          <w:lang w:val="en-US" w:eastAsia="zh-CN"/>
        </w:rPr>
        <w:t xml:space="preserve">第七条 </w:t>
      </w:r>
      <w:r>
        <w:rPr>
          <w:rFonts w:hint="eastAsia" w:ascii="Times New Roman" w:hAnsi="Times New Roman" w:eastAsia="仿宋_GB2312"/>
          <w:b w:val="0"/>
          <w:bCs w:val="0"/>
          <w:sz w:val="32"/>
          <w:szCs w:val="32"/>
          <w:lang w:val="en-US" w:eastAsia="zh-CN"/>
        </w:rPr>
        <w:t>社区基金监委会</w:t>
      </w:r>
      <w:bookmarkEnd w:id="39"/>
      <w:bookmarkEnd w:id="40"/>
      <w:bookmarkEnd w:id="41"/>
      <w:bookmarkEnd w:id="42"/>
      <w:bookmarkEnd w:id="43"/>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b w:val="0"/>
          <w:bCs w:val="0"/>
          <w:sz w:val="32"/>
          <w:szCs w:val="32"/>
          <w:lang w:val="en-US" w:eastAsia="zh-CN"/>
        </w:rPr>
      </w:pPr>
      <w:r>
        <w:rPr>
          <w:rFonts w:hint="eastAsia" w:ascii="Times New Roman" w:hAnsi="Times New Roman" w:eastAsia="仿宋_GB2312"/>
          <w:b w:val="0"/>
          <w:bCs w:val="0"/>
          <w:sz w:val="32"/>
          <w:szCs w:val="32"/>
          <w:lang w:val="en-US" w:eastAsia="zh-CN"/>
        </w:rPr>
        <w:t>1.由社区书记、监委会主任、街道分管领导等人员组成，名单为：</w:t>
      </w:r>
      <w:r>
        <w:rPr>
          <w:rFonts w:hint="eastAsia" w:ascii="Times New Roman" w:hAnsi="Times New Roman" w:eastAsia="仿宋_GB2312"/>
          <w:b w:val="0"/>
          <w:bCs w:val="0"/>
          <w:sz w:val="32"/>
          <w:szCs w:val="32"/>
          <w:u w:val="single"/>
          <w:lang w:val="en-US" w:eastAsia="zh-CN"/>
        </w:rPr>
        <w:t xml:space="preserve">                                            </w:t>
      </w:r>
      <w:r>
        <w:rPr>
          <w:rFonts w:hint="eastAsia" w:ascii="Times New Roman" w:hAnsi="Times New Roman" w:eastAsia="仿宋_GB2312"/>
          <w:b w:val="0"/>
          <w:bCs w:val="0"/>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1"/>
        <w:rPr>
          <w:rFonts w:hint="default"/>
          <w:lang w:val="en-US" w:eastAsia="zh-CN"/>
        </w:rPr>
      </w:pPr>
      <w:bookmarkStart w:id="44" w:name="_Toc28256"/>
      <w:bookmarkStart w:id="45" w:name="_Toc30503"/>
      <w:r>
        <w:rPr>
          <w:rFonts w:hint="eastAsia" w:ascii="Times New Roman" w:hAnsi="Times New Roman" w:eastAsia="仿宋_GB2312"/>
          <w:b w:val="0"/>
          <w:bCs w:val="0"/>
          <w:sz w:val="32"/>
          <w:szCs w:val="32"/>
          <w:lang w:val="en-US" w:eastAsia="zh-CN"/>
        </w:rPr>
        <w:t>2.对社区基金的表决、资助、审议等事项履行监督权力；</w:t>
      </w:r>
      <w:bookmarkEnd w:id="44"/>
      <w:bookmarkEnd w:id="45"/>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Times New Roman" w:hAnsi="Times New Roman" w:eastAsia="仿宋_GB2312"/>
          <w:b w:val="0"/>
          <w:bCs w:val="0"/>
          <w:sz w:val="32"/>
          <w:szCs w:val="32"/>
          <w:lang w:val="en-US" w:eastAsia="zh-CN"/>
        </w:rPr>
      </w:pPr>
      <w:r>
        <w:rPr>
          <w:rFonts w:hint="eastAsia" w:ascii="Times New Roman" w:hAnsi="Times New Roman" w:eastAsia="仿宋_GB2312"/>
          <w:sz w:val="32"/>
          <w:szCs w:val="32"/>
          <w:lang w:val="en-US" w:eastAsia="zh-CN"/>
        </w:rPr>
        <w:t>社区基金监委会需填写《官渡区XX街道社区基金监委会决议表》见附件一，成员表决并签字。</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default" w:ascii="Times New Roman" w:hAnsi="Times New Roman" w:eastAsia="仿宋_GB2312"/>
          <w:b w:val="0"/>
          <w:bCs w:val="0"/>
          <w:sz w:val="32"/>
          <w:szCs w:val="32"/>
          <w:lang w:val="en-US" w:eastAsia="zh-CN"/>
        </w:rPr>
      </w:pPr>
      <w:r>
        <w:rPr>
          <w:rFonts w:hint="eastAsia" w:ascii="Times New Roman" w:hAnsi="Times New Roman" w:eastAsia="仿宋_GB2312"/>
          <w:b w:val="0"/>
          <w:bCs w:val="0"/>
          <w:sz w:val="32"/>
          <w:szCs w:val="32"/>
          <w:lang w:val="en-US" w:eastAsia="zh-CN"/>
        </w:rPr>
        <w:t>3.如发现违反社区基金管理办法及相关制度，可向挂靠慈善协会进行反馈，并请求慈善协会介入进行合规性管理。</w:t>
      </w:r>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0"/>
        <w:rPr>
          <w:rFonts w:hint="eastAsia" w:ascii="Times New Roman" w:hAnsi="Times New Roman" w:eastAsia="黑体"/>
          <w:b w:val="0"/>
          <w:sz w:val="32"/>
          <w:szCs w:val="32"/>
          <w:lang w:val="en-US" w:eastAsia="zh-CN"/>
        </w:rPr>
      </w:pPr>
      <w:bookmarkStart w:id="46" w:name="_Toc4119"/>
      <w:bookmarkStart w:id="47" w:name="_Toc24229"/>
      <w:bookmarkStart w:id="48" w:name="_Toc2966"/>
      <w:bookmarkStart w:id="49" w:name="_Toc7051"/>
      <w:bookmarkStart w:id="50" w:name="_Toc13951"/>
      <w:r>
        <w:rPr>
          <w:rFonts w:hint="eastAsia" w:ascii="Times New Roman" w:hAnsi="Times New Roman" w:eastAsia="仿宋_GB2312"/>
          <w:b/>
          <w:bCs/>
          <w:sz w:val="32"/>
          <w:szCs w:val="32"/>
          <w:lang w:val="en-US" w:eastAsia="zh-CN"/>
        </w:rPr>
        <w:t xml:space="preserve">第九条 </w:t>
      </w:r>
      <w:r>
        <w:rPr>
          <w:rFonts w:hint="eastAsia" w:ascii="Times New Roman" w:hAnsi="Times New Roman" w:eastAsia="仿宋_GB2312"/>
          <w:b w:val="0"/>
          <w:bCs w:val="0"/>
          <w:sz w:val="32"/>
          <w:szCs w:val="32"/>
          <w:lang w:val="en-US" w:eastAsia="zh-CN"/>
        </w:rPr>
        <w:t>换届及补选</w:t>
      </w:r>
      <w:bookmarkEnd w:id="46"/>
      <w:bookmarkEnd w:id="47"/>
      <w:bookmarkEnd w:id="48"/>
      <w:bookmarkEnd w:id="49"/>
      <w:bookmarkEnd w:id="50"/>
    </w:p>
    <w:p>
      <w:pPr>
        <w:keepNext w:val="0"/>
        <w:keepLines w:val="0"/>
        <w:pageBreakBefore w:val="0"/>
        <w:widowControl w:val="0"/>
        <w:kinsoku/>
        <w:wordWrap/>
        <w:overflowPunct w:val="0"/>
        <w:topLinePunct w:val="0"/>
        <w:autoSpaceDE/>
        <w:autoSpaceDN/>
        <w:bidi w:val="0"/>
        <w:adjustRightInd/>
        <w:snapToGrid/>
        <w:spacing w:line="560" w:lineRule="exact"/>
        <w:textAlignment w:val="auto"/>
        <w:outlineLvl w:val="1"/>
        <w:rPr>
          <w:rFonts w:hint="default" w:ascii="Times New Roman" w:hAnsi="Times New Roman" w:eastAsia="仿宋_GB2312"/>
          <w:b w:val="0"/>
          <w:bCs w:val="0"/>
          <w:sz w:val="32"/>
          <w:szCs w:val="32"/>
          <w:lang w:val="en-US" w:eastAsia="zh-CN"/>
        </w:rPr>
      </w:pPr>
      <w:bookmarkStart w:id="51" w:name="_Toc28385"/>
      <w:bookmarkStart w:id="52" w:name="_Toc26015"/>
      <w:bookmarkStart w:id="53" w:name="_Toc5990"/>
      <w:bookmarkStart w:id="54" w:name="_Toc17756"/>
      <w:bookmarkStart w:id="55" w:name="_Toc22864"/>
      <w:r>
        <w:rPr>
          <w:rFonts w:hint="eastAsia" w:ascii="Times New Roman" w:hAnsi="Times New Roman" w:eastAsia="仿宋_GB2312"/>
          <w:b w:val="0"/>
          <w:bCs w:val="0"/>
          <w:sz w:val="32"/>
          <w:szCs w:val="32"/>
          <w:lang w:val="en-US" w:eastAsia="zh-CN"/>
        </w:rPr>
        <w:t>1.社区基金管委会、秘书处、监委会为4年一期；</w:t>
      </w:r>
      <w:bookmarkEnd w:id="51"/>
      <w:bookmarkEnd w:id="52"/>
      <w:bookmarkEnd w:id="53"/>
      <w:bookmarkEnd w:id="54"/>
      <w:bookmarkEnd w:id="55"/>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lang w:val="en-US" w:eastAsia="zh-CN"/>
        </w:rPr>
      </w:pPr>
      <w:r>
        <w:rPr>
          <w:rFonts w:hint="eastAsia" w:ascii="Times New Roman" w:hAnsi="Times New Roman" w:eastAsia="仿宋_GB2312"/>
          <w:b w:val="0"/>
          <w:bCs w:val="0"/>
          <w:sz w:val="32"/>
          <w:szCs w:val="32"/>
          <w:lang w:val="en-US" w:eastAsia="zh-CN"/>
        </w:rPr>
        <w:t>2.如涉及换届或补选情况，可由秘书处提请管委会进行决议，流程参照社区基金管委会会议决议形式开展，并提请慈善协会备案。</w:t>
      </w:r>
    </w:p>
    <w:p>
      <w:pPr>
        <w:pStyle w:val="3"/>
        <w:pageBreakBefore w:val="0"/>
        <w:widowControl w:val="0"/>
        <w:numPr>
          <w:ilvl w:val="0"/>
          <w:numId w:val="1"/>
        </w:numPr>
        <w:kinsoku/>
        <w:wordWrap/>
        <w:topLinePunct w:val="0"/>
        <w:autoSpaceDE/>
        <w:autoSpaceDN/>
        <w:bidi w:val="0"/>
        <w:adjustRightInd/>
        <w:spacing w:line="560" w:lineRule="exact"/>
        <w:textAlignment w:val="auto"/>
        <w:rPr>
          <w:rFonts w:hint="default"/>
          <w:lang w:val="en-US" w:eastAsia="zh-CN"/>
        </w:rPr>
      </w:pPr>
      <w:bookmarkStart w:id="56" w:name="_Toc11254"/>
      <w:bookmarkStart w:id="57" w:name="_Toc27580"/>
      <w:r>
        <w:rPr>
          <w:rFonts w:hint="eastAsia"/>
          <w:lang w:val="en-US" w:eastAsia="zh-CN"/>
        </w:rPr>
        <w:t>社区基金年度规划</w:t>
      </w:r>
      <w:bookmarkEnd w:id="56"/>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outlineLvl w:val="0"/>
        <w:rPr>
          <w:rFonts w:hint="default" w:ascii="仿宋_GB2312" w:eastAsia="仿宋_GB2312"/>
          <w:sz w:val="32"/>
          <w:szCs w:val="32"/>
          <w:lang w:val="en-US" w:eastAsia="zh-CN"/>
        </w:rPr>
      </w:pPr>
      <w:bookmarkStart w:id="58" w:name="_Toc21610"/>
      <w:bookmarkStart w:id="59" w:name="_Toc15553"/>
      <w:r>
        <w:rPr>
          <w:rFonts w:hint="eastAsia" w:ascii="仿宋_GB2312" w:eastAsia="仿宋_GB2312"/>
          <w:b/>
          <w:bCs/>
          <w:sz w:val="32"/>
          <w:szCs w:val="32"/>
          <w:lang w:val="en-US" w:eastAsia="zh-CN"/>
        </w:rPr>
        <w:t>第十条</w:t>
      </w:r>
      <w:r>
        <w:rPr>
          <w:rFonts w:hint="eastAsia" w:ascii="仿宋_GB2312" w:eastAsia="仿宋_GB2312"/>
          <w:sz w:val="32"/>
          <w:szCs w:val="32"/>
          <w:lang w:val="en-US" w:eastAsia="zh-CN"/>
        </w:rPr>
        <w:t xml:space="preserve"> 社区基金年度规划</w:t>
      </w:r>
      <w:bookmarkEnd w:id="58"/>
      <w:bookmarkEnd w:id="59"/>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楷体_GB2312" w:hAnsi="楷体_GB2312" w:eastAsia="楷体_GB2312" w:cs="楷体_GB2312"/>
          <w:sz w:val="32"/>
          <w:szCs w:val="32"/>
          <w:lang w:val="en-US" w:eastAsia="zh-CN"/>
        </w:rPr>
      </w:pPr>
      <w:bookmarkStart w:id="60" w:name="_Toc29978"/>
      <w:bookmarkStart w:id="61" w:name="_Toc8025"/>
      <w:r>
        <w:rPr>
          <w:rFonts w:hint="eastAsia" w:ascii="楷体_GB2312" w:hAnsi="楷体_GB2312" w:eastAsia="楷体_GB2312" w:cs="楷体_GB2312"/>
          <w:sz w:val="32"/>
          <w:szCs w:val="32"/>
          <w:lang w:val="en-US" w:eastAsia="zh-CN"/>
        </w:rPr>
        <w:t>（一）什么是年度规划</w:t>
      </w:r>
      <w:bookmarkEnd w:id="60"/>
      <w:bookmarkEnd w:id="6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社区基金年度规划是组织用于实现项目活动目的和组织发展目标的工具，在制定年度计划之前需要制定出明确的使命、愿景。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楷体_GB2312" w:hAnsi="楷体_GB2312" w:eastAsia="楷体_GB2312" w:cs="楷体_GB2312"/>
          <w:sz w:val="32"/>
          <w:szCs w:val="32"/>
          <w:lang w:val="en-US" w:eastAsia="zh-CN"/>
        </w:rPr>
      </w:pPr>
      <w:bookmarkStart w:id="62" w:name="_Toc19828"/>
      <w:bookmarkStart w:id="63" w:name="_Toc15633"/>
      <w:r>
        <w:rPr>
          <w:rFonts w:hint="eastAsia" w:ascii="楷体_GB2312" w:hAnsi="楷体_GB2312" w:eastAsia="楷体_GB2312" w:cs="楷体_GB2312"/>
          <w:sz w:val="32"/>
          <w:szCs w:val="32"/>
          <w:lang w:val="en-US" w:eastAsia="zh-CN"/>
        </w:rPr>
        <w:t>（二）制定年度规划的意义</w:t>
      </w:r>
      <w:bookmarkEnd w:id="62"/>
      <w:bookmarkEnd w:id="6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年度规划是将宏观的愿景、使命转化成为组织成果的具体过程。随着社区基金的不断发展，年度规划也应有所变化，并且呈现出一个动态的过程。在此期间需要定期监督评估，进行适当的调整。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default" w:ascii="仿宋_GB2312" w:eastAsia="仿宋_GB2312"/>
          <w:sz w:val="32"/>
          <w:szCs w:val="32"/>
          <w:lang w:val="en-US" w:eastAsia="zh-CN"/>
        </w:rPr>
      </w:pPr>
      <w:bookmarkStart w:id="64" w:name="_Toc16025"/>
      <w:bookmarkStart w:id="65" w:name="_Toc30624"/>
      <w:r>
        <w:rPr>
          <w:rFonts w:hint="eastAsia" w:ascii="仿宋_GB2312" w:eastAsia="仿宋_GB2312"/>
          <w:b/>
          <w:bCs/>
          <w:sz w:val="32"/>
          <w:szCs w:val="32"/>
          <w:lang w:val="en-US" w:eastAsia="zh-CN"/>
        </w:rPr>
        <w:t>第十一</w:t>
      </w:r>
      <w:r>
        <w:rPr>
          <w:rFonts w:hint="eastAsia" w:ascii="楷体_GB2312" w:hAnsi="楷体_GB2312" w:eastAsia="楷体_GB2312" w:cs="楷体_GB2312"/>
          <w:sz w:val="32"/>
          <w:szCs w:val="32"/>
          <w:lang w:val="en-US" w:eastAsia="zh-CN"/>
        </w:rPr>
        <w:t>条 如何</w:t>
      </w:r>
      <w:r>
        <w:rPr>
          <w:rFonts w:hint="eastAsia" w:ascii="仿宋_GB2312" w:eastAsia="仿宋_GB2312"/>
          <w:sz w:val="32"/>
          <w:szCs w:val="32"/>
          <w:lang w:val="en-US" w:eastAsia="zh-CN"/>
        </w:rPr>
        <w:t>制定年度规划</w:t>
      </w:r>
      <w:bookmarkEnd w:id="64"/>
      <w:bookmarkEnd w:id="65"/>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66" w:name="_Toc26726"/>
      <w:bookmarkStart w:id="67" w:name="_Toc30743"/>
      <w:r>
        <w:rPr>
          <w:rFonts w:hint="eastAsia" w:ascii="楷体_GB2312" w:hAnsi="楷体_GB2312" w:eastAsia="楷体_GB2312" w:cs="楷体_GB2312"/>
          <w:sz w:val="32"/>
          <w:szCs w:val="32"/>
          <w:lang w:val="en-US" w:eastAsia="zh-CN"/>
        </w:rPr>
        <w:t>（一）准备工作</w:t>
      </w:r>
      <w:bookmarkEnd w:id="66"/>
      <w:bookmarkEnd w:id="67"/>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社区基金决定要进行年度规划时，社区基金管理委员会需讨论回顾愿景、使命、价值观，并制定本年度的目标。秘书处可将讨论内容记录在管委会决议中，并在官渡区社区基金运营规章总则“社区基金的宗旨”处体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68" w:name="_Toc23428"/>
      <w:bookmarkStart w:id="69" w:name="_Toc22040"/>
      <w:bookmarkStart w:id="70" w:name="_Toc5125"/>
      <w:r>
        <w:rPr>
          <w:rFonts w:hint="eastAsia" w:ascii="楷体_GB2312" w:hAnsi="楷体_GB2312" w:eastAsia="楷体_GB2312" w:cs="楷体_GB2312"/>
          <w:sz w:val="32"/>
          <w:szCs w:val="32"/>
          <w:lang w:val="en-US" w:eastAsia="zh-CN"/>
        </w:rPr>
        <w:t>（二）信息收集</w:t>
      </w:r>
      <w:bookmarkEnd w:id="68"/>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在制定年度规划前，社区基金管委会、秘书处需联合监委会进行信息收集，其内容应涵盖：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1.社区基金目前存在哪些方面的问题？优先想要解决什么？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rFonts w:hint="eastAsia" w:ascii="仿宋_GB2312" w:eastAsia="仿宋_GB2312"/>
          <w:sz w:val="32"/>
          <w:szCs w:val="32"/>
          <w:lang w:val="en-US" w:eastAsia="zh-CN"/>
        </w:rPr>
        <w:t>2.针对我们想要解决的问题，我们要了解哪些相关信息，向谁收集？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3.每个社基金的主题为？资助计划如何进行？</w:t>
      </w:r>
      <w:bookmarkStart w:id="71" w:name="_Toc854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rPr>
      </w:pPr>
      <w:bookmarkStart w:id="72" w:name="_Toc7480"/>
      <w:bookmarkStart w:id="73" w:name="_Toc8735"/>
      <w:r>
        <w:rPr>
          <w:rFonts w:hint="eastAsia" w:ascii="仿宋_GB2312" w:eastAsia="仿宋_GB2312"/>
          <w:b/>
          <w:bCs/>
          <w:sz w:val="32"/>
          <w:szCs w:val="32"/>
          <w:lang w:val="en-US" w:eastAsia="zh-CN"/>
        </w:rPr>
        <w:t>第十二条</w:t>
      </w:r>
      <w:r>
        <w:rPr>
          <w:rFonts w:hint="eastAsia" w:ascii="仿宋_GB2312" w:eastAsia="仿宋_GB2312"/>
          <w:sz w:val="32"/>
          <w:szCs w:val="32"/>
          <w:lang w:val="en-US" w:eastAsia="zh-CN"/>
        </w:rPr>
        <w:t xml:space="preserve"> 制定战略目标，撰写战略规划文件</w:t>
      </w:r>
      <w:bookmarkEnd w:id="71"/>
      <w:bookmarkEnd w:id="72"/>
      <w:bookmarkEnd w:id="73"/>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74" w:name="_Toc29438"/>
      <w:bookmarkStart w:id="75" w:name="_Toc17013"/>
      <w:r>
        <w:rPr>
          <w:rFonts w:hint="eastAsia" w:ascii="楷体_GB2312" w:hAnsi="楷体_GB2312" w:eastAsia="楷体_GB2312" w:cs="楷体_GB2312"/>
          <w:sz w:val="32"/>
          <w:szCs w:val="32"/>
          <w:lang w:val="en-US" w:eastAsia="zh-CN"/>
        </w:rPr>
        <w:t>（一）确定战略愿景(5年以上)：</w:t>
      </w:r>
      <w:bookmarkEnd w:id="74"/>
      <w:bookmarkEnd w:id="75"/>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我们希望组织发展成什么样？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76" w:name="_Toc4080"/>
      <w:bookmarkStart w:id="77" w:name="_Toc12780"/>
      <w:r>
        <w:rPr>
          <w:rFonts w:hint="eastAsia" w:ascii="楷体_GB2312" w:hAnsi="楷体_GB2312" w:eastAsia="楷体_GB2312" w:cs="楷体_GB2312"/>
          <w:sz w:val="32"/>
          <w:szCs w:val="32"/>
          <w:lang w:val="en-US" w:eastAsia="zh-CN"/>
        </w:rPr>
        <w:t>（二）确定战略目标(3-5年) ：</w:t>
      </w:r>
      <w:bookmarkEnd w:id="76"/>
      <w:bookmarkEnd w:id="77"/>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战略目标通常是宏观的、定性的、结果状态的，是指组织希望在各个战略方向预期达到的结果。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78" w:name="_Toc15159"/>
      <w:bookmarkStart w:id="79" w:name="_Toc12109"/>
      <w:r>
        <w:rPr>
          <w:rFonts w:hint="eastAsia" w:ascii="楷体_GB2312" w:hAnsi="楷体_GB2312" w:eastAsia="楷体_GB2312" w:cs="楷体_GB2312"/>
          <w:sz w:val="32"/>
          <w:szCs w:val="32"/>
          <w:lang w:val="en-US" w:eastAsia="zh-CN"/>
        </w:rPr>
        <w:t>（三）制定达成战略目标的策略(1-3年)：</w:t>
      </w:r>
      <w:bookmarkEnd w:id="78"/>
      <w:bookmarkEnd w:id="7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达到战略目标的途径和手段。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楷体_GB2312" w:hAnsi="楷体_GB2312" w:eastAsia="楷体_GB2312" w:cs="楷体_GB2312"/>
          <w:sz w:val="32"/>
          <w:szCs w:val="32"/>
          <w:lang w:val="en-US" w:eastAsia="zh-CN"/>
        </w:rPr>
      </w:pPr>
      <w:bookmarkStart w:id="80" w:name="_Toc24753"/>
      <w:bookmarkStart w:id="81" w:name="_Toc22491"/>
      <w:r>
        <w:rPr>
          <w:rFonts w:hint="eastAsia" w:ascii="楷体_GB2312" w:hAnsi="楷体_GB2312" w:eastAsia="楷体_GB2312" w:cs="楷体_GB2312"/>
          <w:sz w:val="32"/>
          <w:szCs w:val="32"/>
          <w:lang w:val="en-US" w:eastAsia="zh-CN"/>
        </w:rPr>
        <w:t>（四）年度目标(1年)：</w:t>
      </w:r>
      <w:bookmarkEnd w:id="80"/>
      <w:bookmarkEnd w:id="8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outlineLvl w:val="9"/>
        <w:rPr>
          <w:rFonts w:hint="eastAsia" w:ascii="Arial"/>
          <w:sz w:val="21"/>
        </w:rPr>
      </w:pPr>
      <w:r>
        <w:rPr>
          <w:rFonts w:hint="eastAsia" w:ascii="仿宋_GB2312" w:eastAsia="仿宋_GB2312"/>
          <w:sz w:val="32"/>
          <w:szCs w:val="32"/>
          <w:lang w:val="en-US" w:eastAsia="zh-CN"/>
        </w:rPr>
        <w:t>精确、具体、量化地陈述，在一年内将达到的目标。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40"/>
          <w:lang w:val="en-US" w:eastAsia="zh-CN"/>
        </w:rPr>
      </w:pPr>
      <w:r>
        <w:rPr>
          <w:rFonts w:hint="eastAsia" w:ascii="仿宋_GB2312" w:eastAsia="仿宋_GB2312"/>
          <w:sz w:val="32"/>
          <w:szCs w:val="32"/>
          <w:lang w:val="en-US" w:eastAsia="zh-CN"/>
        </w:rPr>
        <w:t>《社区基金年度目标行动计划表》</w:t>
      </w:r>
      <w:bookmarkStart w:id="82" w:name="_Toc4871"/>
    </w:p>
    <w:p>
      <w:pPr>
        <w:pStyle w:val="3"/>
        <w:pageBreakBefore w:val="0"/>
        <w:widowControl w:val="0"/>
        <w:kinsoku/>
        <w:wordWrap/>
        <w:topLinePunct w:val="0"/>
        <w:autoSpaceDE/>
        <w:autoSpaceDN/>
        <w:bidi w:val="0"/>
        <w:adjustRightInd/>
        <w:spacing w:line="560" w:lineRule="exact"/>
        <w:textAlignment w:val="auto"/>
        <w:rPr>
          <w:rFonts w:hint="eastAsia"/>
          <w:lang w:val="en-US" w:eastAsia="zh-CN"/>
        </w:rPr>
      </w:pPr>
      <w:r>
        <w:rPr>
          <w:rFonts w:hint="eastAsia"/>
          <w:lang w:val="en-US" w:eastAsia="zh-CN"/>
        </w:rPr>
        <w:t>四、 社区基金的募集</w:t>
      </w:r>
      <w:bookmarkEnd w:id="57"/>
      <w:bookmarkEnd w:id="8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default"/>
          <w:lang w:val="en-US" w:eastAsia="zh-CN"/>
        </w:rPr>
      </w:pPr>
      <w:bookmarkStart w:id="83" w:name="_Toc2469"/>
      <w:bookmarkStart w:id="84" w:name="_Toc25113"/>
      <w:bookmarkStart w:id="85" w:name="_Toc12843"/>
      <w:bookmarkStart w:id="86" w:name="_Toc15098"/>
      <w:r>
        <w:rPr>
          <w:rFonts w:hint="eastAsia" w:ascii="仿宋_GB2312" w:eastAsia="仿宋_GB2312"/>
          <w:b/>
          <w:bCs/>
          <w:sz w:val="32"/>
          <w:szCs w:val="32"/>
          <w:lang w:val="en-US" w:eastAsia="zh-CN"/>
        </w:rPr>
        <w:t xml:space="preserve">第十三条 </w:t>
      </w:r>
      <w:r>
        <w:rPr>
          <w:rFonts w:hint="eastAsia" w:ascii="仿宋_GB2312" w:eastAsia="仿宋_GB2312"/>
          <w:sz w:val="32"/>
          <w:szCs w:val="32"/>
          <w:lang w:val="en-US" w:eastAsia="zh-CN"/>
        </w:rPr>
        <w:t>基金募集的种类</w:t>
      </w:r>
      <w:bookmarkEnd w:id="83"/>
      <w:bookmarkEnd w:id="84"/>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仿宋_GB2312" w:eastAsia="仿宋_GB2312"/>
          <w:sz w:val="32"/>
          <w:szCs w:val="32"/>
          <w:lang w:val="en-US" w:eastAsia="zh-CN"/>
        </w:rPr>
      </w:pPr>
      <w:bookmarkStart w:id="87" w:name="_Toc9859"/>
      <w:bookmarkStart w:id="88" w:name="_Toc23317"/>
      <w:r>
        <w:rPr>
          <w:rFonts w:hint="eastAsia" w:ascii="仿宋_GB2312" w:eastAsia="仿宋_GB2312"/>
          <w:sz w:val="32"/>
          <w:szCs w:val="32"/>
          <w:lang w:val="en-US" w:eastAsia="zh-CN"/>
        </w:rPr>
        <w:t>（一）按照募集先后顺序</w:t>
      </w:r>
      <w:bookmarkEnd w:id="87"/>
      <w:bookmarkEnd w:id="88"/>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lang w:val="en-US" w:eastAsia="zh-CN"/>
        </w:rPr>
      </w:pPr>
      <w:r>
        <w:rPr>
          <w:rFonts w:hint="eastAsia" w:ascii="仿宋_GB2312" w:eastAsia="仿宋_GB2312"/>
          <w:sz w:val="32"/>
          <w:szCs w:val="32"/>
          <w:lang w:val="en-US" w:eastAsia="zh-CN"/>
        </w:rPr>
        <w:t>1.先立项再募款：社区基金先进行立项，确定筹款来源、资助方向及内容，再进行筹款。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2.先募款后资助：社区基金先进行资金募集，根据募集情况再确定资助方向及内容。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default" w:ascii="仿宋_GB2312" w:eastAsia="仿宋_GB2312"/>
          <w:sz w:val="32"/>
          <w:szCs w:val="32"/>
          <w:lang w:val="en-US" w:eastAsia="zh-CN"/>
        </w:rPr>
      </w:pPr>
      <w:bookmarkStart w:id="89" w:name="_Toc27211"/>
      <w:bookmarkStart w:id="90" w:name="_Toc27734"/>
      <w:r>
        <w:rPr>
          <w:rFonts w:hint="eastAsia" w:ascii="仿宋_GB2312" w:eastAsia="仿宋_GB2312"/>
          <w:sz w:val="32"/>
          <w:szCs w:val="32"/>
          <w:lang w:val="en-US" w:eastAsia="zh-CN"/>
        </w:rPr>
        <w:t>（二）按照募集形式</w:t>
      </w:r>
      <w:bookmarkEnd w:id="89"/>
      <w:bookmarkEnd w:id="9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1.社区公益活动，例如公益市集、慈善晚会、公益拍卖等。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2.事件筹款，例如针对社区治安防控方面。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3.联合劝募，即由公募慈善组织联合多个社区在同一主题项目下进行联合筹款。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4.互联网募款方式，包括月捐、公益网店、消费捐等。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仿宋_GB2312" w:eastAsia="仿宋_GB2312"/>
          <w:sz w:val="32"/>
          <w:szCs w:val="32"/>
          <w:lang w:val="en-US" w:eastAsia="zh-CN"/>
        </w:rPr>
      </w:pPr>
      <w:bookmarkStart w:id="91" w:name="_Toc333"/>
      <w:bookmarkStart w:id="92" w:name="_Toc30612"/>
      <w:r>
        <w:rPr>
          <w:rFonts w:hint="eastAsia" w:ascii="仿宋_GB2312" w:eastAsia="仿宋_GB2312"/>
          <w:b/>
          <w:bCs/>
          <w:sz w:val="32"/>
          <w:szCs w:val="32"/>
          <w:lang w:val="en-US" w:eastAsia="zh-CN"/>
        </w:rPr>
        <w:t>第十四条</w:t>
      </w:r>
      <w:r>
        <w:rPr>
          <w:rFonts w:hint="eastAsia" w:ascii="仿宋_GB2312" w:eastAsia="仿宋_GB2312"/>
          <w:sz w:val="32"/>
          <w:szCs w:val="32"/>
          <w:lang w:val="en-US" w:eastAsia="zh-CN"/>
        </w:rPr>
        <w:t xml:space="preserve"> 募集资金适用范围</w:t>
      </w:r>
      <w:bookmarkEnd w:id="85"/>
      <w:bookmarkEnd w:id="86"/>
      <w:bookmarkEnd w:id="91"/>
      <w:bookmarkEnd w:id="9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（一）辖区范围内的自然人、法人或者其他组织自愿无偿向社区基金捐赠资金或物品，用于社区自主发展。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（二）社区自主发展是指根据社区自身需要，由社区居民提出满足需要的方案，通过社区基金的资助达到满足需要、解决问题的目的，以此提高社区的自主能力。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仿宋_GB2312" w:eastAsia="仿宋_GB2312"/>
          <w:sz w:val="32"/>
          <w:szCs w:val="32"/>
          <w:lang w:val="en-US" w:eastAsia="zh-CN"/>
        </w:rPr>
      </w:pPr>
      <w:bookmarkStart w:id="93" w:name="_Toc27083"/>
      <w:bookmarkStart w:id="94" w:name="_Toc21581"/>
      <w:bookmarkStart w:id="95" w:name="_Toc29513"/>
      <w:bookmarkStart w:id="96" w:name="_Toc5347"/>
      <w:r>
        <w:rPr>
          <w:rFonts w:hint="eastAsia" w:ascii="仿宋_GB2312" w:eastAsia="仿宋_GB2312"/>
          <w:b/>
          <w:bCs/>
          <w:sz w:val="32"/>
          <w:szCs w:val="32"/>
          <w:lang w:val="en-US" w:eastAsia="zh-CN"/>
        </w:rPr>
        <w:t>第十五条</w:t>
      </w:r>
      <w:r>
        <w:rPr>
          <w:rFonts w:hint="eastAsia" w:ascii="仿宋_GB2312" w:eastAsia="仿宋_GB2312"/>
          <w:sz w:val="32"/>
          <w:szCs w:val="32"/>
          <w:lang w:val="en-US" w:eastAsia="zh-CN"/>
        </w:rPr>
        <w:t xml:space="preserve"> 捐赠和受赠</w:t>
      </w:r>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_GB2312" w:eastAsia="仿宋_GB2312"/>
          <w:sz w:val="32"/>
          <w:szCs w:val="32"/>
          <w:lang w:val="en-US" w:eastAsia="zh-CN"/>
        </w:rPr>
      </w:pPr>
      <w:bookmarkStart w:id="97" w:name="_Toc18505"/>
      <w:bookmarkStart w:id="98" w:name="_Toc4416"/>
      <w:bookmarkStart w:id="99" w:name="_Toc9346"/>
      <w:bookmarkStart w:id="100" w:name="_Toc14332"/>
      <w:r>
        <w:rPr>
          <w:rFonts w:hint="eastAsia" w:ascii="仿宋_GB2312" w:eastAsia="仿宋_GB2312"/>
          <w:sz w:val="32"/>
          <w:szCs w:val="32"/>
          <w:lang w:val="en-US" w:eastAsia="zh-CN"/>
        </w:rPr>
        <w:t>（一）捐赠</w:t>
      </w:r>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eastAsia="仿宋_GB2312"/>
          <w:sz w:val="32"/>
          <w:szCs w:val="32"/>
          <w:lang w:val="en-US" w:eastAsia="zh-CN"/>
        </w:rPr>
      </w:pPr>
      <w:bookmarkStart w:id="101" w:name="_Toc27931"/>
      <w:bookmarkStart w:id="102" w:name="_Toc19824"/>
      <w:r>
        <w:rPr>
          <w:rFonts w:hint="eastAsia" w:ascii="仿宋_GB2312" w:eastAsia="仿宋_GB2312"/>
          <w:sz w:val="32"/>
          <w:szCs w:val="32"/>
          <w:lang w:val="en-US" w:eastAsia="zh-CN"/>
        </w:rPr>
        <w:t>1.捐赠的财产应当是捐赠人有权处分的合法财产。</w:t>
      </w:r>
      <w:bookmarkEnd w:id="101"/>
      <w:bookmarkEnd w:id="10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捐赠人可以与受赠人就捐赠财产的种类、质量、数量和用途等内容订立捐赠协议。捐赠人有权决定捐赠的数量、用途和方式。捐赠人应当依法履行捐赠协议，按照捐赠协议约定的期限和方式将捐赠财产转移给受赠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3.捐赠财产用于社区发展，依照法律、行政法规的规定享受企业或个人所得税方面的优惠。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_GB2312" w:eastAsia="仿宋_GB2312"/>
          <w:sz w:val="32"/>
          <w:szCs w:val="32"/>
          <w:lang w:val="en-US" w:eastAsia="zh-CN"/>
        </w:rPr>
      </w:pPr>
      <w:bookmarkStart w:id="103" w:name="_Toc3202"/>
      <w:bookmarkStart w:id="104" w:name="_Toc6329"/>
      <w:bookmarkStart w:id="105" w:name="_Toc7449"/>
      <w:bookmarkStart w:id="106" w:name="_Toc29694"/>
      <w:r>
        <w:rPr>
          <w:rFonts w:hint="eastAsia" w:ascii="仿宋_GB2312" w:eastAsia="仿宋_GB2312"/>
          <w:sz w:val="32"/>
          <w:szCs w:val="32"/>
          <w:lang w:val="en-US" w:eastAsia="zh-CN"/>
        </w:rPr>
        <w:t>（二）受赠</w:t>
      </w:r>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1.受赠人接受捐赠后，应当向捐赠人出具合法的票据，根据捐赠人意愿使用其财产。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eastAsia="仿宋_GB2312"/>
          <w:sz w:val="32"/>
          <w:szCs w:val="32"/>
          <w:lang w:val="en-US" w:eastAsia="zh-CN"/>
        </w:rPr>
      </w:pPr>
      <w:bookmarkStart w:id="107" w:name="_Toc3587"/>
      <w:bookmarkStart w:id="108" w:name="_Toc5159"/>
      <w:r>
        <w:rPr>
          <w:rFonts w:hint="eastAsia" w:ascii="仿宋_GB2312" w:eastAsia="仿宋_GB2312"/>
          <w:sz w:val="32"/>
          <w:szCs w:val="32"/>
          <w:lang w:val="en-US" w:eastAsia="zh-CN"/>
        </w:rPr>
        <w:t>2.受赠人应当将受赠财产用于资助符合其宗旨的活动和事业。</w:t>
      </w:r>
      <w:bookmarkEnd w:id="107"/>
      <w:bookmarkEnd w:id="108"/>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3.受赠人应当依照国家有关规定，建立健全财务会计制度和受赠财产的使用制度，加强对受赠财产的管理。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4.捐赠人有权向受赠人查询捐赠财产的使用、管理情况，并提出意见和建议。对于捐赠人的查询，受赠人应当积极如实答复。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40"/>
          <w:lang w:val="en-US" w:eastAsia="zh-CN"/>
        </w:rPr>
      </w:pPr>
      <w:r>
        <w:rPr>
          <w:rFonts w:hint="eastAsia" w:ascii="仿宋_GB2312" w:eastAsia="仿宋_GB2312"/>
          <w:sz w:val="32"/>
          <w:szCs w:val="32"/>
          <w:lang w:val="en-US" w:eastAsia="zh-CN"/>
        </w:rPr>
        <w:t>5.受赠人应当主动公开接受捐赠的情况与捐赠财产的使用、管理情况，接受社会监督，一般每半年度一次，并及时将使用情况反馈捐赠人。</w:t>
      </w:r>
      <w:bookmarkStart w:id="109" w:name="_Toc1451"/>
      <w:bookmarkStart w:id="110" w:name="_Toc23901"/>
    </w:p>
    <w:p>
      <w:pPr>
        <w:pStyle w:val="3"/>
        <w:pageBreakBefore w:val="0"/>
        <w:widowControl w:val="0"/>
        <w:kinsoku/>
        <w:wordWrap/>
        <w:topLinePunct w:val="0"/>
        <w:autoSpaceDE/>
        <w:autoSpaceDN/>
        <w:bidi w:val="0"/>
        <w:adjustRightInd/>
        <w:spacing w:line="560" w:lineRule="exact"/>
        <w:textAlignment w:val="auto"/>
        <w:rPr>
          <w:rFonts w:hint="eastAsia"/>
          <w:lang w:val="en-US" w:eastAsia="zh-CN"/>
        </w:rPr>
      </w:pPr>
      <w:r>
        <w:rPr>
          <w:rFonts w:hint="eastAsia"/>
          <w:lang w:val="en-US" w:eastAsia="zh-CN"/>
        </w:rPr>
        <w:t>五、资金的管理、监督</w:t>
      </w:r>
      <w:bookmarkEnd w:id="109"/>
      <w:bookmarkEnd w:id="1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b/>
          <w:bCs/>
          <w:sz w:val="32"/>
          <w:szCs w:val="32"/>
          <w:highlight w:val="yellow"/>
          <w:lang w:val="en-US" w:eastAsia="zh-CN"/>
        </w:rPr>
      </w:pPr>
      <w:r>
        <w:rPr>
          <w:rFonts w:hint="eastAsia" w:ascii="仿宋_GB2312" w:eastAsia="仿宋_GB2312"/>
          <w:sz w:val="32"/>
          <w:szCs w:val="32"/>
          <w:lang w:val="en-US" w:eastAsia="zh-CN"/>
        </w:rPr>
        <w:t>社区基金的资金使用依据捐赠人的意愿进行，对于没有指定具体领域及用途的资金或指定固定领域及用途，但没有限定实施方式的资金，仍可以采用项目化方式进行，以提高使用效率。</w:t>
      </w:r>
      <w:r>
        <w:rPr>
          <w:rFonts w:hint="eastAsia" w:ascii="仿宋_GB2312" w:eastAsia="仿宋_GB2312"/>
          <w:sz w:val="32"/>
          <w:szCs w:val="32"/>
          <w:highlight w:val="yellow"/>
          <w:lang w:val="en-US" w:eastAsia="zh-CN"/>
        </w:rPr>
        <w:t>该部分内容包括如何发布资金使用信息、谁可以申请、哪些计划能获得补助、谁来评审、评审标准、评审流程是什么等内容，此部分内容中的具体标准可依据实际需要做调整。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第十六条</w:t>
      </w:r>
      <w:r>
        <w:rPr>
          <w:rFonts w:hint="eastAsia" w:ascii="仿宋_GB2312" w:eastAsia="仿宋_GB2312"/>
          <w:sz w:val="32"/>
          <w:szCs w:val="32"/>
          <w:lang w:val="en-US" w:eastAsia="zh-CN"/>
        </w:rPr>
        <w:t xml:space="preserve"> 社区基金应当向社区居民及辖区单位公布募得资金详细使用计划，向居民提供咨询服务。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第十七条 </w:t>
      </w:r>
      <w:r>
        <w:rPr>
          <w:rFonts w:hint="eastAsia" w:ascii="仿宋_GB2312" w:eastAsia="仿宋_GB2312"/>
          <w:sz w:val="32"/>
          <w:szCs w:val="32"/>
          <w:lang w:val="en-US" w:eastAsia="zh-CN"/>
        </w:rPr>
        <w:t>社区基金的资金（包括资金及实物）受法律保护，任何单位、个人不得侵占、私分、挪用。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ascii="仿宋_GB2312" w:eastAsia="仿宋_GB2312"/>
          <w:b/>
          <w:bCs/>
          <w:sz w:val="32"/>
          <w:szCs w:val="32"/>
          <w:lang w:val="en-US" w:eastAsia="zh-CN"/>
        </w:rPr>
        <w:t xml:space="preserve">第十八条 </w:t>
      </w:r>
      <w:r>
        <w:rPr>
          <w:rFonts w:hint="eastAsia" w:ascii="仿宋_GB2312" w:eastAsia="仿宋_GB2312"/>
          <w:sz w:val="32"/>
          <w:szCs w:val="32"/>
          <w:lang w:val="en-US" w:eastAsia="zh-CN"/>
        </w:rPr>
        <w:t>捐赠协议明确了具体使用方式的捐赠，根据捐赠协议的约定使用。接受捐赠的物资无法用于符合社区基金宗旨的用途时，采用慈善超市的运作模式将物资转换为资金，所得收入纳入社区基金用于捐赠目的。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default" w:ascii="仿宋_GB2312" w:eastAsia="仿宋_GB2312"/>
          <w:b/>
          <w:bCs/>
          <w:sz w:val="32"/>
          <w:szCs w:val="32"/>
          <w:lang w:val="en-US" w:eastAsia="zh-CN"/>
        </w:rPr>
      </w:pPr>
      <w:bookmarkStart w:id="111" w:name="_Toc32257"/>
      <w:bookmarkStart w:id="112" w:name="_Toc26253"/>
      <w:bookmarkStart w:id="113" w:name="_Toc27706"/>
      <w:bookmarkStart w:id="114" w:name="_Toc4224"/>
      <w:r>
        <w:rPr>
          <w:rFonts w:hint="eastAsia" w:ascii="仿宋_GB2312" w:eastAsia="仿宋_GB2312"/>
          <w:b/>
          <w:bCs/>
          <w:sz w:val="32"/>
          <w:szCs w:val="32"/>
          <w:lang w:val="en-US" w:eastAsia="zh-CN"/>
        </w:rPr>
        <w:t xml:space="preserve">第十九条 </w:t>
      </w:r>
      <w:r>
        <w:rPr>
          <w:rFonts w:hint="eastAsia" w:ascii="仿宋_GB2312" w:eastAsia="仿宋_GB2312"/>
          <w:b w:val="0"/>
          <w:bCs w:val="0"/>
          <w:sz w:val="32"/>
          <w:szCs w:val="32"/>
          <w:lang w:val="en-US" w:eastAsia="zh-CN"/>
        </w:rPr>
        <w:t>资金的使用类型</w:t>
      </w:r>
      <w:bookmarkEnd w:id="111"/>
      <w:bookmarkEnd w:id="1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115" w:name="_Toc17320"/>
      <w:bookmarkStart w:id="116" w:name="_Toc30989"/>
      <w:r>
        <w:rPr>
          <w:rFonts w:hint="eastAsia" w:ascii="楷体_GB2312" w:hAnsi="楷体_GB2312" w:eastAsia="楷体_GB2312" w:cs="楷体_GB2312"/>
          <w:sz w:val="32"/>
          <w:szCs w:val="32"/>
          <w:lang w:val="en-US" w:eastAsia="zh-CN"/>
        </w:rPr>
        <w:t>（一）常规资助</w:t>
      </w:r>
      <w:bookmarkEnd w:id="115"/>
      <w:bookmarkEnd w:id="116"/>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eastAsia="仿宋_GB2312"/>
          <w:b w:val="0"/>
          <w:bCs w:val="0"/>
          <w:sz w:val="32"/>
          <w:szCs w:val="32"/>
          <w:lang w:val="en-US" w:eastAsia="zh-CN"/>
        </w:rPr>
        <w:t>常规资助是指社区基金对居民即时的、特殊的需求制定的单次活动进行的资助。常规资助注重执行的时效性，操作流程简单易行，只需居民提交项目申请书至社区基金管委会</w:t>
      </w:r>
      <w:r>
        <w:rPr>
          <w:rFonts w:hint="eastAsia" w:ascii="仿宋_GB2312" w:hAnsi="仿宋_GB2312" w:eastAsia="仿宋_GB2312" w:cs="仿宋_GB2312"/>
          <w:sz w:val="32"/>
          <w:szCs w:val="32"/>
          <w:lang w:val="en-US" w:eastAsia="zh-CN"/>
        </w:rPr>
        <w:t>票选申报项目，并提交秘书处优化，由管委会进行审议、即可进行资助。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117" w:name="_Toc25133"/>
      <w:bookmarkStart w:id="118" w:name="_Toc32113"/>
      <w:r>
        <w:rPr>
          <w:rFonts w:hint="eastAsia" w:ascii="楷体_GB2312" w:hAnsi="楷体_GB2312" w:eastAsia="楷体_GB2312" w:cs="楷体_GB2312"/>
          <w:sz w:val="32"/>
          <w:szCs w:val="32"/>
          <w:lang w:val="en-US" w:eastAsia="zh-CN"/>
        </w:rPr>
        <w:t>（二）专题资助</w:t>
      </w:r>
      <w:bookmarkEnd w:id="117"/>
      <w:bookmarkEnd w:id="1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19" w:name="_Toc1511"/>
      <w:bookmarkStart w:id="120" w:name="_Toc10249"/>
      <w:r>
        <w:rPr>
          <w:rFonts w:hint="eastAsia" w:ascii="仿宋_GB2312" w:eastAsia="仿宋_GB2312"/>
          <w:b w:val="0"/>
          <w:bCs w:val="0"/>
          <w:sz w:val="32"/>
          <w:szCs w:val="32"/>
          <w:lang w:val="en-US" w:eastAsia="zh-CN"/>
        </w:rPr>
        <w:t>专题资助为社区基金针对某一主题或在某一区域内进行的资助，需提前制定资助方案，拟定资助内容及流程，以提案大赛的方式进行的一种周期性资助。</w:t>
      </w:r>
      <w:bookmarkEnd w:id="119"/>
      <w:bookmarkEnd w:id="1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121" w:name="_Toc16218"/>
      <w:bookmarkStart w:id="122" w:name="_Toc32422"/>
      <w:bookmarkStart w:id="123" w:name="_Toc29645"/>
      <w:r>
        <w:rPr>
          <w:rFonts w:hint="eastAsia" w:ascii="楷体_GB2312" w:hAnsi="楷体_GB2312" w:eastAsia="楷体_GB2312" w:cs="楷体_GB2312"/>
          <w:sz w:val="32"/>
          <w:szCs w:val="32"/>
          <w:lang w:val="en-US" w:eastAsia="zh-CN"/>
        </w:rPr>
        <w:t>（三）社区基金专题资助</w:t>
      </w:r>
      <w:bookmarkEnd w:id="121"/>
      <w:r>
        <w:rPr>
          <w:rFonts w:hint="eastAsia" w:ascii="楷体_GB2312" w:hAnsi="楷体_GB2312" w:eastAsia="楷体_GB2312" w:cs="楷体_GB2312"/>
          <w:sz w:val="32"/>
          <w:szCs w:val="32"/>
          <w:lang w:val="en-US" w:eastAsia="zh-CN"/>
        </w:rPr>
        <w:t>流程</w:t>
      </w:r>
      <w:bookmarkEnd w:id="122"/>
      <w:bookmarkEnd w:id="123"/>
      <w:bookmarkStart w:id="124" w:name="_Toc4057"/>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25" w:name="_Toc16016"/>
      <w:bookmarkStart w:id="126" w:name="_Toc23051"/>
      <w:r>
        <w:rPr>
          <w:rFonts w:hint="eastAsia" w:ascii="仿宋_GB2312" w:eastAsia="仿宋_GB2312"/>
          <w:b/>
          <w:bCs/>
          <w:sz w:val="32"/>
          <w:szCs w:val="32"/>
          <w:lang w:val="en-US" w:eastAsia="zh-CN"/>
        </w:rPr>
        <w:t>1.项目动员与宣讲</w:t>
      </w:r>
      <w:bookmarkEnd w:id="125"/>
      <w:bookmarkEnd w:id="1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27" w:name="_Toc7871"/>
      <w:bookmarkStart w:id="128" w:name="_Toc9710"/>
      <w:r>
        <w:rPr>
          <w:rFonts w:hint="eastAsia" w:ascii="仿宋_GB2312" w:eastAsia="仿宋_GB2312"/>
          <w:b w:val="0"/>
          <w:bCs w:val="0"/>
          <w:sz w:val="32"/>
          <w:szCs w:val="32"/>
          <w:lang w:val="en-US" w:eastAsia="zh-CN"/>
        </w:rPr>
        <w:t>（1）社区基金管委会联合各社区形成一份项目方案，上报社区基金执行委员会表决通过；后续专项基金秘书处到各个社区进行走访，开展项目宣讲会。</w:t>
      </w:r>
      <w:bookmarkEnd w:id="127"/>
      <w:bookmarkEnd w:id="1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29" w:name="_Toc23326"/>
      <w:bookmarkStart w:id="130" w:name="_Toc7388"/>
      <w:r>
        <w:rPr>
          <w:rFonts w:hint="eastAsia" w:ascii="仿宋_GB2312" w:eastAsia="仿宋_GB2312"/>
          <w:b w:val="0"/>
          <w:bCs w:val="0"/>
          <w:sz w:val="32"/>
          <w:szCs w:val="32"/>
          <w:lang w:val="en-US" w:eastAsia="zh-CN"/>
        </w:rPr>
        <w:t>（2）发布面向居民自组织的活动通知、提案申请表；介绍提案大赛情况，作居民动员；讲解提案大赛流程及参赛须知，说明负面清单、报账制度。</w:t>
      </w:r>
      <w:bookmarkEnd w:id="129"/>
      <w:bookmarkEnd w:id="1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31" w:name="_Toc29430"/>
      <w:bookmarkStart w:id="132" w:name="_Toc2873"/>
      <w:r>
        <w:rPr>
          <w:rFonts w:hint="eastAsia" w:ascii="仿宋_GB2312" w:eastAsia="仿宋_GB2312"/>
          <w:b w:val="0"/>
          <w:bCs w:val="0"/>
          <w:sz w:val="32"/>
          <w:szCs w:val="32"/>
          <w:lang w:val="en-US" w:eastAsia="zh-CN"/>
        </w:rPr>
        <w:t>（3）社区专项基金秘书处、社区协调组现场交流答疑。</w:t>
      </w:r>
      <w:bookmarkEnd w:id="131"/>
      <w:bookmarkEnd w:id="132"/>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33" w:name="_Toc30710"/>
      <w:bookmarkStart w:id="134" w:name="_Toc16228"/>
      <w:r>
        <w:rPr>
          <w:rFonts w:hint="eastAsia" w:ascii="仿宋_GB2312" w:eastAsia="仿宋_GB2312"/>
          <w:b/>
          <w:bCs/>
          <w:sz w:val="32"/>
          <w:szCs w:val="32"/>
          <w:lang w:val="en-US" w:eastAsia="zh-CN"/>
        </w:rPr>
        <w:t>2.成员招募</w:t>
      </w:r>
      <w:bookmarkEnd w:id="133"/>
      <w:bookmarkEnd w:id="13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lang w:val="en-US" w:eastAsia="zh-CN"/>
        </w:rPr>
      </w:pPr>
      <w:bookmarkStart w:id="135" w:name="_Toc29810"/>
      <w:bookmarkStart w:id="136" w:name="_Toc12201"/>
      <w:r>
        <w:rPr>
          <w:rFonts w:hint="eastAsia" w:ascii="仿宋_GB2312" w:eastAsia="仿宋_GB2312"/>
          <w:b w:val="0"/>
          <w:bCs w:val="0"/>
          <w:sz w:val="32"/>
          <w:szCs w:val="32"/>
          <w:lang w:val="en-US" w:eastAsia="zh-CN"/>
        </w:rPr>
        <w:t>由各社区项目招募成员，成立项目申报团队。</w:t>
      </w:r>
      <w:bookmarkEnd w:id="135"/>
      <w:bookmarkEnd w:id="13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（1）合格的申请者包括：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辖区内以社区为基础的群团组织或社会组织；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以社区为基础为社区困难弱势群体服务的商业组织；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申请组织要主动寻求居民和驻区单位的参与，主动链接资源；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（2）不能获得补助的情况：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个人或营利性商业组织；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超出社区基金覆盖范围 (社区基金覆盖范围指政府划定的范围或同社工站的业务范围，结合当地情况确定) 的组织；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过去曾经获得类似的资助但未能完成计划执行的组织，在两年内不得申请；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sz w:val="32"/>
          <w:szCs w:val="32"/>
          <w:lang w:val="en-US" w:eastAsia="zh-CN"/>
        </w:rPr>
      </w:pPr>
      <w:r>
        <w:rPr>
          <w:rFonts w:hint="eastAsia" w:ascii="仿宋_GB2312" w:eastAsia="仿宋_GB2312"/>
          <w:sz w:val="32"/>
          <w:szCs w:val="32"/>
          <w:lang w:val="en-US" w:eastAsia="zh-CN"/>
        </w:rPr>
        <w:t>社区基金立项申请书（居民组织版）模版见F5-1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b/>
          <w:bCs/>
          <w:lang w:val="en-US" w:eastAsia="zh-CN"/>
        </w:rPr>
      </w:pPr>
      <w:r>
        <w:rPr>
          <w:rFonts w:hint="eastAsia" w:ascii="仿宋_GB2312" w:eastAsia="仿宋_GB2312"/>
          <w:sz w:val="32"/>
          <w:szCs w:val="32"/>
          <w:lang w:val="en-US" w:eastAsia="zh-CN"/>
        </w:rPr>
        <w:t>社区基金立项申请书（社会组织版）模板见F5-2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eastAsia" w:ascii="楷体_GB2312" w:hAnsi="楷体_GB2312" w:eastAsia="楷体_GB2312" w:cs="楷体_GB2312"/>
          <w:b/>
          <w:bCs/>
          <w:kern w:val="2"/>
          <w:sz w:val="32"/>
          <w:szCs w:val="32"/>
          <w:lang w:val="en-US" w:eastAsia="zh-CN" w:bidi="ar-SA"/>
        </w:rPr>
      </w:pPr>
      <w:bookmarkStart w:id="137" w:name="_Toc11257"/>
      <w:r>
        <w:rPr>
          <w:rFonts w:hint="eastAsia" w:ascii="楷体_GB2312" w:hAnsi="楷体_GB2312" w:eastAsia="楷体_GB2312" w:cs="楷体_GB2312"/>
          <w:b/>
          <w:bCs/>
          <w:kern w:val="2"/>
          <w:sz w:val="32"/>
          <w:szCs w:val="32"/>
          <w:lang w:val="en-US" w:eastAsia="zh-CN" w:bidi="ar-SA"/>
        </w:rPr>
        <w:t>3.提案撰写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楷体_GB2312" w:hAnsi="楷体_GB2312" w:eastAsia="楷体_GB2312" w:cs="楷体_GB2312"/>
          <w:b w:val="0"/>
          <w:kern w:val="2"/>
          <w:sz w:val="32"/>
          <w:szCs w:val="32"/>
          <w:lang w:val="en-US" w:eastAsia="zh-CN" w:bidi="ar-SA"/>
        </w:rPr>
      </w:pPr>
      <w:r>
        <w:rPr>
          <w:rFonts w:hint="eastAsia" w:ascii="楷体_GB2312" w:hAnsi="楷体_GB2312" w:eastAsia="楷体_GB2312" w:cs="楷体_GB2312"/>
          <w:b w:val="0"/>
          <w:kern w:val="2"/>
          <w:sz w:val="32"/>
          <w:szCs w:val="32"/>
          <w:lang w:val="en-US" w:eastAsia="zh-CN" w:bidi="ar-SA"/>
        </w:rPr>
        <w:t>可申请资助类型有哪些</w:t>
      </w:r>
      <w:bookmarkEnd w:id="1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kern w:val="2"/>
          <w:sz w:val="32"/>
          <w:szCs w:val="32"/>
          <w:lang w:val="en-US" w:eastAsia="zh-CN" w:bidi="ar-SA"/>
        </w:rPr>
      </w:pPr>
      <w:r>
        <w:rPr>
          <w:rFonts w:hint="eastAsia" w:ascii="仿宋_GB2312" w:eastAsia="仿宋_GB2312"/>
          <w:sz w:val="32"/>
          <w:szCs w:val="32"/>
          <w:lang w:val="en-US" w:eastAsia="zh-CN"/>
        </w:rPr>
        <w:t>单个项目最高预算不超过 XXX 元；有一定周期。具体类型为：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（1）社区为老服务：为社区老人，特别是留守、空巢、失独、病残、失能、老龄老人提供生活照顾、精神慰藉、情绪疏导、危机干预、关系调适及社会参与等服务。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（2）社区儿童服务：为儿童、青少年，提供救助保护、亲子教育、学业辅导、情感关怀、成长支持等服务。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3）对困难群体进行关怀救助：为社区残疾人、精神障碍群体、遭遇突发事件、意外伤害等需要帮助的社区居民，低保、低收入家庭以及政策边缘群体中的儿童青少年、重大病患者及其家属，妇女、老年人等群体提供生计帮扶、家庭扶持、社区康复、生活照料、情绪疏导、资源链接和融入社会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（4）社区环境改善：聚焦绿色环保、碳中和、社区环境美化等方面，促进社区治理友好等类型的活动，如：共建社区小花园、体育设施、互助空间等修缮和运营。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（5）文化建设：为社区居民提供生活技能类的教学服务，让能通过学习一门技能来寻找一条出路；为社区内离退休人群提供文娱类服务及海南本土特色化民俗活动教学，如教唱琼剧，学习非遗剪纸等。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（6）社区健康：体医养融合、健康大课堂、上门义诊、理疗进社区等。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b w:val="0"/>
          <w:bCs w:val="0"/>
          <w:sz w:val="32"/>
          <w:szCs w:val="32"/>
          <w:lang w:val="en-US" w:eastAsia="zh-CN"/>
        </w:rPr>
      </w:pPr>
      <w:r>
        <w:rPr>
          <w:rFonts w:hint="eastAsia" w:ascii="仿宋_GB2312" w:eastAsia="仿宋_GB2312"/>
          <w:sz w:val="32"/>
          <w:szCs w:val="32"/>
          <w:lang w:val="en-US" w:eastAsia="zh-CN"/>
        </w:rPr>
        <w:t>（7）其他符合社区基金宗旨，与社区营造、社区居民动员行动相关的项目类型。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38" w:name="_Toc27099"/>
      <w:bookmarkStart w:id="139" w:name="_Toc14424"/>
      <w:r>
        <w:rPr>
          <w:rFonts w:hint="eastAsia" w:ascii="仿宋_GB2312" w:eastAsia="仿宋_GB2312"/>
          <w:b/>
          <w:bCs/>
          <w:sz w:val="32"/>
          <w:szCs w:val="32"/>
          <w:lang w:val="en-US" w:eastAsia="zh-CN"/>
        </w:rPr>
        <w:t>4.提案辅导</w:t>
      </w:r>
      <w:bookmarkEnd w:id="138"/>
      <w:bookmarkEnd w:id="1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40" w:name="_Toc31813"/>
      <w:bookmarkStart w:id="141" w:name="_Toc14126"/>
      <w:r>
        <w:rPr>
          <w:rFonts w:hint="eastAsia" w:ascii="仿宋_GB2312" w:eastAsia="仿宋_GB2312"/>
          <w:b w:val="0"/>
          <w:bCs w:val="0"/>
          <w:sz w:val="32"/>
          <w:szCs w:val="32"/>
          <w:lang w:val="en-US" w:eastAsia="zh-CN"/>
        </w:rPr>
        <w:t>项目申报团队上报提案后，由社区基金秘书处对申请团队进行项目辅导，对提案进行辅导形成项目方案书，并与各自社区协调员进行商讨，讨论自组织队伍落地的可行性，并对提案进行有针对性的优化。申请人再次修改完善项目方案。</w:t>
      </w:r>
      <w:bookmarkEnd w:id="140"/>
      <w:bookmarkEnd w:id="141"/>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42" w:name="_Toc3732"/>
      <w:bookmarkStart w:id="143" w:name="_Toc17580"/>
      <w:r>
        <w:rPr>
          <w:rFonts w:hint="eastAsia" w:ascii="仿宋_GB2312" w:eastAsia="仿宋_GB2312"/>
          <w:b/>
          <w:bCs/>
          <w:sz w:val="32"/>
          <w:szCs w:val="32"/>
          <w:lang w:val="en-US" w:eastAsia="zh-CN"/>
        </w:rPr>
        <w:t>5.资格审核</w:t>
      </w:r>
      <w:bookmarkEnd w:id="142"/>
      <w:bookmarkEnd w:id="1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lang w:val="en-US" w:eastAsia="zh-CN"/>
        </w:rPr>
      </w:pPr>
      <w:bookmarkStart w:id="144" w:name="_Toc22169"/>
      <w:bookmarkStart w:id="145" w:name="_Toc16447"/>
      <w:r>
        <w:rPr>
          <w:rFonts w:hint="eastAsia" w:ascii="仿宋_GB2312" w:eastAsia="仿宋_GB2312"/>
          <w:b w:val="0"/>
          <w:bCs w:val="0"/>
          <w:sz w:val="32"/>
          <w:szCs w:val="32"/>
          <w:lang w:val="en-US" w:eastAsia="zh-CN"/>
        </w:rPr>
        <w:t>各项目团队提交项目立项申请书（含项目方案与预算），由各社区基金管委会负责资格审核，并由社区基金管委会表决通过，确定初筛提案。</w:t>
      </w:r>
      <w:bookmarkEnd w:id="144"/>
      <w:bookmarkEnd w:id="1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能获得补助的活动/项目计划必须符合的条件：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（1）项目计划的实践能促进社区公共利益；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（2）强调社区自助精神：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（3）在项目计划的制定和实施过程中都能社区居民参与其中；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不能获得资助的活动/项目计划：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（1）项目计划抄袭他人或其它组织现有计划；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（2）已经在运作中的项目或已经完成的项目；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（3）项目计划与政府既有的政策精神相冲突；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（4）活动/项目计划中的哪些预算不能获得通过：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（5）纯粹用于奖金发放；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b w:val="0"/>
          <w:bCs w:val="0"/>
          <w:sz w:val="32"/>
          <w:szCs w:val="32"/>
          <w:lang w:val="en-US" w:eastAsia="zh-CN"/>
        </w:rPr>
      </w:pPr>
      <w:r>
        <w:rPr>
          <w:rFonts w:hint="eastAsia" w:ascii="仿宋_GB2312" w:eastAsia="仿宋_GB2312"/>
          <w:sz w:val="32"/>
          <w:szCs w:val="32"/>
          <w:lang w:val="en-US" w:eastAsia="zh-CN"/>
        </w:rPr>
        <w:t>（6）纯粹用于大额的硬件设施、设备的购买；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46" w:name="_Toc5135"/>
      <w:bookmarkStart w:id="147" w:name="_Toc30242"/>
      <w:r>
        <w:rPr>
          <w:rFonts w:hint="eastAsia" w:ascii="仿宋_GB2312" w:eastAsia="仿宋_GB2312"/>
          <w:b/>
          <w:bCs/>
          <w:sz w:val="32"/>
          <w:szCs w:val="32"/>
          <w:lang w:val="en-US" w:eastAsia="zh-CN"/>
        </w:rPr>
        <w:t>6.路演辅导</w:t>
      </w:r>
      <w:bookmarkEnd w:id="146"/>
      <w:bookmarkEnd w:id="1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48" w:name="_Toc27892"/>
      <w:bookmarkStart w:id="149" w:name="_Toc4972"/>
      <w:r>
        <w:rPr>
          <w:rFonts w:hint="eastAsia" w:ascii="仿宋_GB2312" w:eastAsia="仿宋_GB2312"/>
          <w:b w:val="0"/>
          <w:bCs w:val="0"/>
          <w:sz w:val="32"/>
          <w:szCs w:val="32"/>
          <w:lang w:val="en-US" w:eastAsia="zh-CN"/>
        </w:rPr>
        <w:t>社区基金秘书处对通过资格审核的预提案进行一场路演辅导。</w:t>
      </w:r>
      <w:bookmarkEnd w:id="148"/>
      <w:bookmarkEnd w:id="14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50" w:name="_Toc24525"/>
      <w:bookmarkStart w:id="151" w:name="_Toc11639"/>
      <w:r>
        <w:rPr>
          <w:rFonts w:hint="eastAsia" w:ascii="仿宋_GB2312" w:eastAsia="仿宋_GB2312"/>
          <w:b/>
          <w:bCs/>
          <w:sz w:val="32"/>
          <w:szCs w:val="32"/>
          <w:lang w:val="en-US" w:eastAsia="zh-CN"/>
        </w:rPr>
        <w:t>7.项目路演与管委会审议</w:t>
      </w:r>
      <w:bookmarkEnd w:id="150"/>
      <w:bookmarkEnd w:id="15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b w:val="0"/>
          <w:bCs w:val="0"/>
          <w:sz w:val="32"/>
          <w:szCs w:val="32"/>
          <w:lang w:val="en-US" w:eastAsia="zh-CN"/>
        </w:rPr>
        <w:t>（1）开展项目发布与路演评审会，将预提案上报管委会审议表决，确定入围项目。</w:t>
      </w:r>
      <w:r>
        <w:rPr>
          <w:rFonts w:hint="eastAsia" w:ascii="仿宋_GB2312" w:eastAsia="仿宋_GB2312"/>
          <w:sz w:val="32"/>
          <w:szCs w:val="32"/>
          <w:lang w:val="en-US" w:eastAsia="zh-CN"/>
        </w:rPr>
        <w:t>社区基金管委会按照多元化原则，从捐赠者、社区热心骨干居民、社区居委、社会组织、街道政府人员中 (也可以从社区协调员中) 选取代表组建项目评审人员库，每次评审从人员库中随机抽取 5 及以上组成项目评审小组。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项目评审小组成员评审前需接受严格培训，培训内容为职业道德、项目评审标准、评审流程等相关内容。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_GB2312" w:hAnsi="楷体_GB2312" w:eastAsia="楷体_GB2312" w:cs="楷体_GB2312"/>
          <w:b w:val="0"/>
          <w:kern w:val="2"/>
          <w:sz w:val="32"/>
          <w:szCs w:val="32"/>
          <w:lang w:val="en-US" w:eastAsia="zh-CN" w:bidi="ar-SA"/>
        </w:rPr>
      </w:pPr>
      <w:bookmarkStart w:id="152" w:name="_Toc997"/>
      <w:r>
        <w:rPr>
          <w:rFonts w:hint="eastAsia" w:ascii="楷体_GB2312" w:hAnsi="楷体_GB2312" w:eastAsia="楷体_GB2312" w:cs="楷体_GB2312"/>
          <w:b w:val="0"/>
          <w:kern w:val="2"/>
          <w:sz w:val="32"/>
          <w:szCs w:val="32"/>
          <w:lang w:val="en-US" w:eastAsia="zh-CN" w:bidi="ar-SA"/>
        </w:rPr>
        <w:t>（2）评审流程</w:t>
      </w:r>
      <w:bookmarkEnd w:id="15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单个项目完整的评审包括项目申请人陈述计划和评审人员提问两个阶段，根据申请项目数量确定整个评审所需时间，确保交流、沟通充分，评审人员能全面了解观察项目的各个方面情况。评审人员根据两个阶段反映出来的信息和结合自己的仔细观察，按照评审标准打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申请人陈述计划阶段需从社区效益、参与、可行性、资源链接能力四个方面详细阐述，每个方面是如何考虑和设计的，可以制作汇报ppt 或文字材料供评审人员查阅，以增强说服力。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b w:val="0"/>
          <w:bCs w:val="0"/>
          <w:sz w:val="32"/>
          <w:szCs w:val="32"/>
          <w:lang w:val="en-US" w:eastAsia="zh-CN"/>
        </w:rPr>
      </w:pPr>
      <w:r>
        <w:rPr>
          <w:rFonts w:hint="eastAsia" w:ascii="仿宋_GB2312" w:eastAsia="仿宋_GB2312"/>
          <w:sz w:val="32"/>
          <w:szCs w:val="32"/>
          <w:lang w:val="en-US" w:eastAsia="zh-CN"/>
        </w:rPr>
        <w:t>评审人员提问阶段，评审人员根据申请人对项目计划的陈述情况，提出自己的疑问，申请人需要现场回答。该阶段重点验证项目计划与四个评审指标之间的一致性，是评审人员打分的依据。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_GB2312" w:eastAsia="仿宋_GB2312"/>
          <w:b/>
          <w:bCs/>
          <w:sz w:val="32"/>
          <w:szCs w:val="32"/>
          <w:lang w:val="en-US" w:eastAsia="zh-CN"/>
        </w:rPr>
      </w:pPr>
      <w:bookmarkStart w:id="153" w:name="_Toc29127"/>
      <w:bookmarkStart w:id="154" w:name="_Toc1563"/>
      <w:r>
        <w:rPr>
          <w:rFonts w:hint="eastAsia" w:ascii="仿宋_GB2312" w:eastAsia="仿宋_GB2312"/>
          <w:b/>
          <w:bCs/>
          <w:sz w:val="32"/>
          <w:szCs w:val="32"/>
          <w:lang w:val="en-US" w:eastAsia="zh-CN"/>
        </w:rPr>
        <w:t>8.项目辅导优化</w:t>
      </w:r>
      <w:bookmarkEnd w:id="153"/>
      <w:bookmarkEnd w:id="154"/>
    </w:p>
    <w:p>
      <w:pPr>
        <w:pageBreakBefore w:val="0"/>
        <w:widowControl w:val="0"/>
        <w:kinsoku/>
        <w:wordWrap/>
        <w:topLinePunct w:val="0"/>
        <w:autoSpaceDE/>
        <w:autoSpaceDN/>
        <w:bidi w:val="0"/>
        <w:adjustRightInd/>
        <w:spacing w:line="560" w:lineRule="exact"/>
        <w:ind w:firstLine="640" w:firstLineChars="200"/>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由社区基金秘书处根据路演结果</w:t>
      </w:r>
      <w:r>
        <w:rPr>
          <w:rFonts w:hint="eastAsia" w:ascii="仿宋_GB2312" w:hAnsi="仿宋_GB2312" w:eastAsia="仿宋_GB2312" w:cs="仿宋_GB2312"/>
          <w:sz w:val="32"/>
          <w:szCs w:val="40"/>
          <w:lang w:val="en-US" w:eastAsia="zh-CN"/>
        </w:rPr>
        <w:t>对已经立项的项目方案再进行一次优化辅导，与项目申请方进行深入沟通。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55" w:name="_Toc18516"/>
      <w:bookmarkStart w:id="156" w:name="_Toc7427"/>
      <w:r>
        <w:rPr>
          <w:rFonts w:hint="eastAsia" w:ascii="仿宋_GB2312" w:eastAsia="仿宋_GB2312"/>
          <w:b/>
          <w:bCs/>
          <w:sz w:val="32"/>
          <w:szCs w:val="32"/>
          <w:lang w:val="en-US" w:eastAsia="zh-CN"/>
        </w:rPr>
        <w:t>9.确定入围项目，签订协议</w:t>
      </w:r>
      <w:bookmarkEnd w:id="155"/>
      <w:bookmarkEnd w:id="15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57" w:name="_Toc21945"/>
      <w:bookmarkStart w:id="158" w:name="_Toc7151"/>
      <w:r>
        <w:rPr>
          <w:rFonts w:hint="eastAsia" w:ascii="仿宋_GB2312" w:hAnsi="仿宋_GB2312" w:eastAsia="仿宋_GB2312" w:cs="仿宋_GB2312"/>
          <w:sz w:val="32"/>
          <w:szCs w:val="40"/>
          <w:lang w:val="en-US" w:eastAsia="zh-CN"/>
        </w:rPr>
        <w:t>慈善协会与通过评审的项目签订项目资助协议，双方达成合作共识</w:t>
      </w:r>
      <w:r>
        <w:rPr>
          <w:rFonts w:hint="eastAsia" w:ascii="仿宋_GB2312" w:eastAsia="仿宋_GB2312"/>
          <w:b w:val="0"/>
          <w:bCs w:val="0"/>
          <w:sz w:val="32"/>
          <w:szCs w:val="32"/>
          <w:lang w:val="en-US" w:eastAsia="zh-CN"/>
        </w:rPr>
        <w:t>，并拨付项目首款（项目资金的70%）。</w:t>
      </w:r>
      <w:bookmarkEnd w:id="157"/>
      <w:bookmarkEnd w:id="158"/>
    </w:p>
    <w:p>
      <w:pPr>
        <w:pageBreakBefore w:val="0"/>
        <w:widowControl w:val="0"/>
        <w:kinsoku/>
        <w:wordWrap/>
        <w:topLinePunct w:val="0"/>
        <w:autoSpaceDE/>
        <w:autoSpaceDN/>
        <w:bidi w:val="0"/>
        <w:adjustRightInd/>
        <w:spacing w:line="560" w:lineRule="exact"/>
        <w:ind w:firstLine="640" w:firstLineChars="200"/>
        <w:textAlignment w:val="auto"/>
        <w:rPr>
          <w:rFonts w:hint="default" w:ascii="仿宋_GB2312" w:eastAsia="仿宋_GB2312"/>
          <w:b w:val="0"/>
          <w:bCs w:val="0"/>
          <w:sz w:val="32"/>
          <w:szCs w:val="32"/>
          <w:lang w:val="en-US" w:eastAsia="zh-CN"/>
        </w:rPr>
      </w:pPr>
      <w:r>
        <w:rPr>
          <w:rFonts w:hint="eastAsia" w:ascii="仿宋_GB2312" w:hAnsi="仿宋_GB2312" w:eastAsia="仿宋_GB2312" w:cs="仿宋_GB2312"/>
          <w:sz w:val="32"/>
          <w:szCs w:val="40"/>
          <w:lang w:val="en-US" w:eastAsia="zh-CN"/>
        </w:rPr>
        <w:t>项目资助协议（范本）见F10</w:t>
      </w:r>
    </w:p>
    <w:p>
      <w:pPr>
        <w:pageBreakBefore w:val="0"/>
        <w:widowControl w:val="0"/>
        <w:kinsoku/>
        <w:wordWrap/>
        <w:topLinePunct w:val="0"/>
        <w:autoSpaceDE/>
        <w:autoSpaceDN/>
        <w:bidi w:val="0"/>
        <w:adjustRightInd/>
        <w:spacing w:line="560" w:lineRule="exact"/>
        <w:ind w:firstLine="643" w:firstLineChars="200"/>
        <w:textAlignment w:val="auto"/>
        <w:rPr>
          <w:rFonts w:hint="eastAsia" w:ascii="楷体_GB2312" w:hAnsi="楷体_GB2312" w:eastAsia="楷体_GB2312" w:cs="楷体_GB2312"/>
          <w:b/>
          <w:bCs/>
          <w:kern w:val="2"/>
          <w:sz w:val="32"/>
          <w:szCs w:val="32"/>
          <w:lang w:val="en-US" w:eastAsia="zh-CN" w:bidi="ar-SA"/>
        </w:rPr>
      </w:pPr>
      <w:bookmarkStart w:id="159" w:name="_Toc6379"/>
      <w:r>
        <w:rPr>
          <w:rFonts w:hint="eastAsia" w:ascii="仿宋_GB2312" w:hAnsi="仿宋_GB2312" w:eastAsia="仿宋_GB2312" w:cs="仿宋_GB2312"/>
          <w:b/>
          <w:bCs/>
          <w:sz w:val="32"/>
          <w:szCs w:val="40"/>
          <w:lang w:val="en-US" w:eastAsia="zh-CN"/>
        </w:rPr>
        <w:t>10.</w:t>
      </w:r>
      <w:r>
        <w:rPr>
          <w:rFonts w:hint="eastAsia" w:ascii="楷体_GB2312" w:hAnsi="楷体_GB2312" w:eastAsia="楷体_GB2312" w:cs="楷体_GB2312"/>
          <w:b/>
          <w:bCs/>
          <w:kern w:val="2"/>
          <w:sz w:val="32"/>
          <w:szCs w:val="32"/>
          <w:lang w:val="en-US" w:eastAsia="zh-CN" w:bidi="ar-SA"/>
        </w:rPr>
        <w:t>项目执行</w:t>
      </w:r>
      <w:bookmarkEnd w:id="159"/>
    </w:p>
    <w:p>
      <w:pPr>
        <w:pageBreakBefore w:val="0"/>
        <w:widowControl w:val="0"/>
        <w:kinsoku/>
        <w:wordWrap/>
        <w:topLinePunct w:val="0"/>
        <w:autoSpaceDE/>
        <w:autoSpaceDN/>
        <w:bidi w:val="0"/>
        <w:adjustRightInd/>
        <w:spacing w:line="560" w:lineRule="exact"/>
        <w:ind w:firstLine="640" w:firstLineChars="200"/>
        <w:textAlignment w:val="auto"/>
        <w:rPr>
          <w:rFonts w:hint="eastAsia" w:ascii="仿宋_GB2312" w:eastAsia="仿宋_GB2312"/>
          <w:b w:val="0"/>
          <w:bCs w:val="0"/>
          <w:sz w:val="32"/>
          <w:szCs w:val="32"/>
          <w:lang w:val="en-US" w:eastAsia="zh-CN"/>
        </w:rPr>
      </w:pPr>
      <w:r>
        <w:rPr>
          <w:rFonts w:hint="eastAsia" w:ascii="仿宋_GB2312" w:hAnsi="仿宋_GB2312" w:eastAsia="仿宋_GB2312" w:cs="仿宋_GB2312"/>
          <w:sz w:val="32"/>
          <w:szCs w:val="40"/>
          <w:lang w:val="en-US" w:eastAsia="zh-CN"/>
        </w:rPr>
        <w:t>签约后，各项目根据计划开始实施执行。在执行过程中需遵守《慈善协会官渡区社区基金财务管理制度》见F11按时按质开展项目活动，并进行项目台账收集整理。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eastAsia="仿宋_GB2312"/>
          <w:b/>
          <w:bCs/>
          <w:sz w:val="32"/>
          <w:szCs w:val="32"/>
          <w:lang w:val="en-US" w:eastAsia="zh-CN"/>
        </w:rPr>
      </w:pPr>
      <w:bookmarkStart w:id="160" w:name="_Toc21379"/>
      <w:bookmarkStart w:id="161" w:name="_Toc25910"/>
      <w:r>
        <w:rPr>
          <w:rFonts w:hint="eastAsia" w:ascii="仿宋_GB2312" w:eastAsia="仿宋_GB2312"/>
          <w:b/>
          <w:bCs/>
          <w:sz w:val="32"/>
          <w:szCs w:val="32"/>
          <w:lang w:val="en-US" w:eastAsia="zh-CN"/>
        </w:rPr>
        <w:t>11.中期评估</w:t>
      </w:r>
      <w:bookmarkEnd w:id="160"/>
      <w:bookmarkEnd w:id="16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62" w:name="_Toc17482"/>
      <w:bookmarkStart w:id="163" w:name="_Toc7378"/>
      <w:r>
        <w:rPr>
          <w:rFonts w:hint="eastAsia" w:ascii="仿宋_GB2312" w:hAnsi="仿宋_GB2312" w:eastAsia="仿宋_GB2312" w:cs="仿宋_GB2312"/>
          <w:sz w:val="32"/>
          <w:szCs w:val="40"/>
          <w:lang w:val="en-US" w:eastAsia="zh-CN"/>
        </w:rPr>
        <w:t>社区基金秘书处根据需要会</w:t>
      </w:r>
      <w:r>
        <w:rPr>
          <w:rFonts w:hint="eastAsia" w:ascii="仿宋_GB2312" w:eastAsia="仿宋_GB2312"/>
          <w:b w:val="0"/>
          <w:bCs w:val="0"/>
          <w:sz w:val="32"/>
          <w:szCs w:val="32"/>
          <w:lang w:val="en-US" w:eastAsia="zh-CN"/>
        </w:rPr>
        <w:t>对资助项目进行中期评估，对各社区的提案项目进行实地走访，根据走访的结果梳理中期报告。报告分为两部分：一部分是提案项目进展及成效；另一部分为财务报告。</w:t>
      </w:r>
      <w:bookmarkEnd w:id="162"/>
      <w:bookmarkEnd w:id="16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default" w:ascii="仿宋_GB2312" w:eastAsia="仿宋_GB2312"/>
          <w:b/>
          <w:bCs/>
          <w:sz w:val="32"/>
          <w:szCs w:val="32"/>
          <w:lang w:val="en-US" w:eastAsia="zh-CN"/>
        </w:rPr>
      </w:pPr>
      <w:bookmarkStart w:id="164" w:name="_Toc8390"/>
      <w:bookmarkStart w:id="165" w:name="_Toc2449"/>
      <w:r>
        <w:rPr>
          <w:rFonts w:hint="eastAsia" w:ascii="仿宋_GB2312" w:eastAsia="仿宋_GB2312"/>
          <w:b/>
          <w:bCs/>
          <w:sz w:val="32"/>
          <w:szCs w:val="32"/>
          <w:lang w:val="en-US" w:eastAsia="zh-CN"/>
        </w:rPr>
        <w:t>12.结项评估</w:t>
      </w:r>
      <w:bookmarkEnd w:id="164"/>
      <w:bookmarkEnd w:id="1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bCs w:val="0"/>
          <w:sz w:val="32"/>
          <w:szCs w:val="32"/>
          <w:lang w:val="en-US" w:eastAsia="zh-CN"/>
        </w:rPr>
      </w:pPr>
      <w:bookmarkStart w:id="166" w:name="_Toc30530"/>
      <w:bookmarkStart w:id="167" w:name="_Toc24282"/>
      <w:r>
        <w:rPr>
          <w:rFonts w:hint="eastAsia" w:ascii="仿宋_GB2312" w:hAnsi="仿宋_GB2312" w:eastAsia="仿宋_GB2312" w:cs="仿宋_GB2312"/>
          <w:sz w:val="32"/>
          <w:szCs w:val="40"/>
          <w:lang w:val="en-US" w:eastAsia="zh-CN"/>
        </w:rPr>
        <w:t>社区基金管委会根据需要对执行项目</w:t>
      </w:r>
      <w:r>
        <w:rPr>
          <w:rFonts w:hint="eastAsia" w:ascii="仿宋_GB2312" w:eastAsia="仿宋_GB2312"/>
          <w:b w:val="0"/>
          <w:bCs w:val="0"/>
          <w:sz w:val="32"/>
          <w:szCs w:val="32"/>
          <w:lang w:val="en-US" w:eastAsia="zh-CN"/>
        </w:rPr>
        <w:t>开展项目结项评估，</w:t>
      </w:r>
      <w:r>
        <w:rPr>
          <w:rFonts w:hint="eastAsia" w:ascii="仿宋_GB2312" w:hAnsi="仿宋_GB2312" w:eastAsia="仿宋_GB2312" w:cs="仿宋_GB2312"/>
          <w:sz w:val="32"/>
          <w:szCs w:val="40"/>
          <w:lang w:val="en-US" w:eastAsia="zh-CN"/>
        </w:rPr>
        <w:t>对各项目实施情况进行检查指导。</w:t>
      </w:r>
      <w:r>
        <w:rPr>
          <w:rFonts w:hint="eastAsia" w:ascii="仿宋_GB2312" w:eastAsia="仿宋_GB2312"/>
          <w:b w:val="0"/>
          <w:bCs w:val="0"/>
          <w:sz w:val="32"/>
          <w:szCs w:val="32"/>
          <w:lang w:val="en-US" w:eastAsia="zh-CN"/>
        </w:rPr>
        <w:t>项目结项，形成项目结项报告一份，项目完成后拨付尾款（项目资金的30%）</w:t>
      </w:r>
      <w:bookmarkEnd w:id="166"/>
      <w:bookmarkEnd w:id="167"/>
    </w:p>
    <w:bookmarkEnd w:id="113"/>
    <w:bookmarkEnd w:id="114"/>
    <w:bookmarkEnd w:id="124"/>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第二十条 </w:t>
      </w:r>
      <w:r>
        <w:rPr>
          <w:rFonts w:hint="eastAsia" w:ascii="仿宋_GB2312" w:eastAsia="仿宋_GB2312"/>
          <w:sz w:val="32"/>
          <w:szCs w:val="32"/>
          <w:lang w:val="en-US" w:eastAsia="zh-CN"/>
        </w:rPr>
        <w:t>社区基金开展资助项目，应当向社区公开所开展的资助项目种类、条件以及申请、评审程序。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第二十一条</w:t>
      </w:r>
      <w:r>
        <w:rPr>
          <w:rFonts w:hint="eastAsia" w:ascii="仿宋_GB2312" w:eastAsia="仿宋_GB2312"/>
          <w:sz w:val="32"/>
          <w:szCs w:val="32"/>
          <w:lang w:val="en-US" w:eastAsia="zh-CN"/>
        </w:rPr>
        <w:t xml:space="preserve"> 采取专业规范的项目资金管理模式，通过项目申请、项目尽职调查、专业评估与优化、管理委员会评审、社区公示与意见征集、项目执行监管、项目评估验收等流程，确保资金使用合理规范。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第二十二条</w:t>
      </w:r>
      <w:r>
        <w:rPr>
          <w:rFonts w:hint="eastAsia" w:ascii="仿宋_GB2312" w:eastAsia="仿宋_GB2312"/>
          <w:sz w:val="32"/>
          <w:szCs w:val="32"/>
          <w:lang w:val="en-US" w:eastAsia="zh-CN"/>
        </w:rPr>
        <w:t xml:space="preserve"> 社区基金违反捐赠协议使用捐赠财产的，捐赠人有权要求社区基金遵守捐赠协议或者向人民法院申请撤销捐赠行为、解除捐赠协议。社区基金有权对资助的使用情况进行监督。受助人未按协议约定使用资助或者有其他违反协议情形的，社区基金有权解除资助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第二十三条 </w:t>
      </w:r>
      <w:r>
        <w:rPr>
          <w:rFonts w:hint="eastAsia" w:ascii="仿宋_GB2312" w:eastAsia="仿宋_GB2312"/>
          <w:sz w:val="32"/>
          <w:szCs w:val="32"/>
          <w:lang w:val="en-US" w:eastAsia="zh-CN"/>
        </w:rPr>
        <w:t>社区基金应当执行国家统一的会计制度，依法进行会计核算、建立健全内部会计监督制度，保证会计资料合法、真实、准确、完整。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第二十四条</w:t>
      </w:r>
      <w:r>
        <w:rPr>
          <w:rFonts w:hint="eastAsia" w:ascii="仿宋_GB2312" w:eastAsia="仿宋_GB2312"/>
          <w:sz w:val="32"/>
          <w:szCs w:val="32"/>
          <w:lang w:val="en-US" w:eastAsia="zh-CN"/>
        </w:rPr>
        <w:t xml:space="preserve"> 社区基金应加强内部监督。社区基金管委会会议纪要、项目评审等决策信息，以及资金募集、资金使用情况等财务信息须及时公布，以维护捐赠者的合法权利和社区基金公信力。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第二十五 条</w:t>
      </w:r>
      <w:r>
        <w:rPr>
          <w:rFonts w:hint="eastAsia" w:ascii="仿宋_GB2312" w:eastAsia="仿宋_GB2312"/>
          <w:sz w:val="32"/>
          <w:szCs w:val="32"/>
          <w:lang w:val="en-US" w:eastAsia="zh-CN"/>
        </w:rPr>
        <w:t xml:space="preserve"> 社区基金管委会成员及项目评审小组成员轮流排班采用定期、不定期实地考察的方式，参加资助项目的各项活动，观察项目进展情况，及时了解项目动态并矫正偏离方向的项目运作。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lang w:val="en-US" w:eastAsia="zh-CN"/>
        </w:rPr>
      </w:pPr>
      <w:r>
        <w:rPr>
          <w:rFonts w:hint="eastAsia" w:ascii="仿宋_GB2312" w:eastAsia="仿宋_GB2312"/>
          <w:b/>
          <w:bCs/>
          <w:sz w:val="32"/>
          <w:szCs w:val="32"/>
          <w:lang w:val="en-US" w:eastAsia="zh-CN"/>
        </w:rPr>
        <w:t>第二十七条</w:t>
      </w:r>
      <w:r>
        <w:rPr>
          <w:rFonts w:hint="eastAsia" w:ascii="仿宋_GB2312" w:eastAsia="仿宋_GB2312"/>
          <w:sz w:val="32"/>
          <w:szCs w:val="32"/>
          <w:lang w:val="en-US" w:eastAsia="zh-CN"/>
        </w:rPr>
        <w:t xml:space="preserve"> 建立互评机制，利用声誉效应，让社区各项目相互监督、相互学习，相互促进。</w:t>
      </w:r>
    </w:p>
    <w:p>
      <w:pPr>
        <w:pStyle w:val="3"/>
        <w:pageBreakBefore w:val="0"/>
        <w:widowControl w:val="0"/>
        <w:kinsoku/>
        <w:wordWrap/>
        <w:topLinePunct w:val="0"/>
        <w:autoSpaceDE/>
        <w:autoSpaceDN/>
        <w:bidi w:val="0"/>
        <w:adjustRightInd/>
        <w:spacing w:line="560" w:lineRule="exact"/>
        <w:textAlignment w:val="auto"/>
        <w:rPr>
          <w:rFonts w:hint="eastAsia"/>
          <w:lang w:val="en-US" w:eastAsia="zh-CN"/>
        </w:rPr>
      </w:pPr>
      <w:bookmarkStart w:id="168" w:name="_Toc20628"/>
      <w:bookmarkStart w:id="169" w:name="_Toc8024"/>
      <w:r>
        <w:rPr>
          <w:rFonts w:hint="eastAsia"/>
          <w:lang w:val="en-US" w:eastAsia="zh-CN"/>
        </w:rPr>
        <w:t>六、《运营规章》的修改</w:t>
      </w:r>
      <w:bookmarkEnd w:id="168"/>
      <w:bookmarkEnd w:id="169"/>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eastAsia="仿宋_GB2312"/>
          <w:b/>
          <w:bCs/>
          <w:sz w:val="32"/>
          <w:szCs w:val="32"/>
          <w:lang w:val="en-US" w:eastAsia="zh-CN"/>
        </w:rPr>
        <w:t xml:space="preserve">第二十八条 </w:t>
      </w:r>
      <w:r>
        <w:rPr>
          <w:rFonts w:hint="eastAsia" w:ascii="仿宋_GB2312" w:eastAsia="仿宋_GB2312"/>
          <w:sz w:val="32"/>
          <w:szCs w:val="32"/>
          <w:lang w:val="en-US" w:eastAsia="zh-CN"/>
        </w:rPr>
        <w:t>本《运营规章》的修改，须管委会表决通过后15日内，报官渡区慈善协会审查同意。经审查同意后，方可实行。</w:t>
      </w:r>
    </w:p>
    <w:p>
      <w:pPr>
        <w:pStyle w:val="3"/>
        <w:pageBreakBefore w:val="0"/>
        <w:widowControl w:val="0"/>
        <w:kinsoku/>
        <w:wordWrap/>
        <w:topLinePunct w:val="0"/>
        <w:autoSpaceDE/>
        <w:autoSpaceDN/>
        <w:bidi w:val="0"/>
        <w:adjustRightInd/>
        <w:spacing w:line="560" w:lineRule="exact"/>
        <w:textAlignment w:val="auto"/>
        <w:rPr>
          <w:rFonts w:hint="eastAsia"/>
          <w:lang w:val="en-US" w:eastAsia="zh-CN"/>
        </w:rPr>
      </w:pPr>
      <w:bookmarkStart w:id="170" w:name="_Toc23117"/>
      <w:bookmarkStart w:id="171" w:name="_Toc18765"/>
      <w:r>
        <w:rPr>
          <w:rFonts w:hint="eastAsia"/>
          <w:lang w:val="en-US" w:eastAsia="zh-CN"/>
        </w:rPr>
        <w:t>七、附则</w:t>
      </w:r>
      <w:bookmarkEnd w:id="170"/>
      <w:bookmarkEnd w:id="171"/>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hint="eastAsia" w:ascii="仿宋_GB2312" w:eastAsia="仿宋_GB2312"/>
          <w:sz w:val="32"/>
          <w:szCs w:val="32"/>
          <w:lang w:val="en-US" w:eastAsia="zh-CN"/>
        </w:rPr>
      </w:pPr>
      <w:bookmarkStart w:id="172" w:name="_Toc2675"/>
      <w:bookmarkStart w:id="173" w:name="_Toc16475"/>
      <w:bookmarkStart w:id="174" w:name="_Toc6706"/>
      <w:bookmarkStart w:id="175" w:name="_Toc886"/>
      <w:r>
        <w:rPr>
          <w:rFonts w:hint="eastAsia" w:ascii="仿宋_GB2312" w:eastAsia="仿宋_GB2312"/>
          <w:b/>
          <w:bCs/>
          <w:sz w:val="32"/>
          <w:szCs w:val="32"/>
          <w:lang w:val="en-US" w:eastAsia="zh-CN"/>
        </w:rPr>
        <w:t>第二十九条</w:t>
      </w:r>
      <w:r>
        <w:rPr>
          <w:rFonts w:hint="eastAsia" w:ascii="仿宋_GB2312" w:eastAsia="仿宋_GB2312"/>
          <w:sz w:val="32"/>
          <w:szCs w:val="32"/>
          <w:lang w:val="en-US" w:eastAsia="zh-CN"/>
        </w:rPr>
        <w:t xml:space="preserve"> 本《运营规章》自202</w:t>
      </w:r>
      <w:bookmarkStart w:id="176" w:name="_GoBack"/>
      <w:bookmarkEnd w:id="176"/>
      <w:r>
        <w:rPr>
          <w:rFonts w:hint="eastAsia" w:ascii="仿宋_GB2312" w:eastAsia="仿宋_GB2312"/>
          <w:sz w:val="32"/>
          <w:szCs w:val="32"/>
          <w:lang w:val="en-US" w:eastAsia="zh-CN"/>
        </w:rPr>
        <w:t>年 月 日起试行。</w:t>
      </w:r>
      <w:bookmarkEnd w:id="172"/>
      <w:bookmarkEnd w:id="173"/>
      <w:bookmarkEnd w:id="174"/>
      <w:bookmarkEnd w:id="175"/>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A66F438-F1AE-4A34-AA4E-632310485469}"/>
  </w:font>
  <w:font w:name="黑体">
    <w:panose1 w:val="02010609060101010101"/>
    <w:charset w:val="86"/>
    <w:family w:val="auto"/>
    <w:pitch w:val="default"/>
    <w:sig w:usb0="800002BF" w:usb1="38CF7CFA" w:usb2="00000016" w:usb3="00000000" w:csb0="00040001" w:csb1="00000000"/>
    <w:embedRegular r:id="rId2" w:fontKey="{DB65145B-04CF-4675-8564-1D3C41A20A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266E4BB-8FBF-4CB8-B2E0-194CCF2054A7}"/>
  </w:font>
  <w:font w:name="方正小标宋简体">
    <w:panose1 w:val="02000000000000000000"/>
    <w:charset w:val="86"/>
    <w:family w:val="auto"/>
    <w:pitch w:val="default"/>
    <w:sig w:usb0="00000001" w:usb1="08000000" w:usb2="00000000" w:usb3="00000000" w:csb0="00040000" w:csb1="00000000"/>
    <w:embedRegular r:id="rId4" w:fontKey="{569E1A32-18D1-4B6A-8A71-7F7B74701C74}"/>
  </w:font>
  <w:font w:name="仿宋_GB2312">
    <w:panose1 w:val="02010609030101010101"/>
    <w:charset w:val="86"/>
    <w:family w:val="modern"/>
    <w:pitch w:val="default"/>
    <w:sig w:usb0="00000001" w:usb1="080E0000" w:usb2="00000000" w:usb3="00000000" w:csb0="00040000" w:csb1="00000000"/>
    <w:embedRegular r:id="rId5" w:fontKey="{A96E311F-0018-44F7-A6FB-F4AA5616CEBD}"/>
  </w:font>
  <w:font w:name="楷体_GB2312">
    <w:panose1 w:val="02010609030101010101"/>
    <w:charset w:val="86"/>
    <w:family w:val="auto"/>
    <w:pitch w:val="default"/>
    <w:sig w:usb0="00000001" w:usb1="080E0000" w:usb2="00000000" w:usb3="00000000" w:csb0="00040000" w:csb1="00000000"/>
    <w:embedRegular r:id="rId6" w:fontKey="{E8569456-B664-4663-AA00-FEE3A58892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CFD064"/>
    <w:multiLevelType w:val="singleLevel"/>
    <w:tmpl w:val="7ECFD06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MmMwZWZiZjQzODkyOGRmOTM4Mzg2NjI5MDk0YzIifQ=="/>
  </w:docVars>
  <w:rsids>
    <w:rsidRoot w:val="51E5057A"/>
    <w:rsid w:val="00910B73"/>
    <w:rsid w:val="0899656A"/>
    <w:rsid w:val="46B06807"/>
    <w:rsid w:val="51E5057A"/>
    <w:rsid w:val="7F343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widowControl w:val="0"/>
      <w:spacing w:before="340" w:beforeLines="0" w:beforeAutospacing="0" w:after="330" w:afterLines="0" w:afterAutospacing="0" w:line="576" w:lineRule="auto"/>
      <w:jc w:val="both"/>
      <w:outlineLvl w:val="0"/>
    </w:pPr>
    <w:rPr>
      <w:rFonts w:asciiTheme="minorHAnsi" w:hAnsiTheme="minorHAnsi" w:eastAsiaTheme="minorEastAsia" w:cstheme="minorBidi"/>
      <w:b/>
      <w:kern w:val="44"/>
      <w:sz w:val="44"/>
      <w:szCs w:val="24"/>
      <w:lang w:val="en-US" w:eastAsia="zh-CN" w:bidi="ar-SA"/>
    </w:rPr>
  </w:style>
  <w:style w:type="paragraph" w:styleId="3">
    <w:name w:val="heading 2"/>
    <w:next w:val="1"/>
    <w:semiHidden/>
    <w:unhideWhenUsed/>
    <w:qFormat/>
    <w:uiPriority w:val="0"/>
    <w:pPr>
      <w:keepNext/>
      <w:keepLines/>
      <w:widowControl w:val="0"/>
      <w:spacing w:before="260" w:beforeLines="0" w:beforeAutospacing="0" w:after="260" w:afterLines="0" w:afterAutospacing="0" w:line="413" w:lineRule="auto"/>
      <w:jc w:val="both"/>
      <w:outlineLvl w:val="1"/>
    </w:pPr>
    <w:rPr>
      <w:rFonts w:ascii="Arial" w:hAnsi="Arial" w:eastAsia="黑体" w:cstheme="minorBidi"/>
      <w:b/>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2023-06-12T09:21:00Z</dcterms:created>
  <dc:creator>立志成为公益先驱</dc:creator>
  <cp:lastModifiedBy>立志成为公益先驱</cp:lastModifiedBy>
  <dcterms:modified xsi:type="dcterms:W3CDTF">2023-12-06T06:51:55Z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7BD8FCC5A7904786B0665A731540F33C_13</vt:lpwstr>
  </property>
</Properties>
</file>